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</w:t>
      </w:r>
      <w:bookmarkStart w:id="0" w:name="_Hlk89377565"/>
      <w:r w:rsidR="00066E22" w:rsidRPr="00741001">
        <w:rPr>
          <w:rFonts w:asciiTheme="minorHAnsi" w:hAnsiTheme="minorHAnsi" w:cstheme="minorHAnsi"/>
          <w:sz w:val="22"/>
          <w:szCs w:val="22"/>
        </w:rPr>
        <w:t>(Dz. U. z 2021 r., poz. 1129, ze zm.)</w:t>
      </w:r>
      <w:bookmarkEnd w:id="0"/>
      <w:r w:rsidRPr="00B36399">
        <w:rPr>
          <w:rFonts w:asciiTheme="minorHAnsi" w:hAnsiTheme="minorHAnsi" w:cstheme="minorHAnsi"/>
          <w:sz w:val="22"/>
          <w:szCs w:val="22"/>
        </w:rPr>
        <w:t>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066E22" w:rsidRPr="0072735D" w:rsidRDefault="000628C2" w:rsidP="0072735D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="00066E22" w:rsidRPr="0072735D">
        <w:rPr>
          <w:rFonts w:asciiTheme="minorHAnsi" w:hAnsiTheme="minorHAnsi" w:cstheme="minorHAnsi"/>
          <w:color w:val="00000A"/>
          <w:sz w:val="22"/>
          <w:szCs w:val="22"/>
          <w:lang w:eastAsia="zh-CN"/>
        </w:rPr>
        <w:t>„Kompleksowe odbieranie odpadów komunalnych z domków letniskowych oraz innych nieruchomości wykorzystywanych na cele rekreacyjno-wypoczynkowe położonych na terenie Gminy Chodecz w 2022 roku.”</w:t>
      </w:r>
    </w:p>
    <w:p w:rsidR="00066E22" w:rsidRPr="0072735D" w:rsidRDefault="00066E22" w:rsidP="0072735D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hAnsiTheme="minorHAnsi" w:cstheme="minorHAnsi"/>
          <w:sz w:val="22"/>
          <w:szCs w:val="22"/>
        </w:rPr>
        <w:t>Wykonawca oświadcza, że posiada niezbędne uprawnienia oraz potencjał techniczny i osobowy, w celu wykonania Przedmiotu Umowy, w szczególności:</w:t>
      </w:r>
    </w:p>
    <w:p w:rsidR="00066E22" w:rsidRPr="0072735D" w:rsidRDefault="00066E22" w:rsidP="0072735D">
      <w:pPr>
        <w:numPr>
          <w:ilvl w:val="0"/>
          <w:numId w:val="32"/>
        </w:numPr>
        <w:tabs>
          <w:tab w:val="left" w:pos="720"/>
          <w:tab w:val="left" w:pos="1080"/>
        </w:tabs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posiada aktualne zezwolenie na prowadzenie działalności w zakresie transportu i zbierania odpadów wydane przez właściwy organ zgodnie z ustawą o odpadach,</w:t>
      </w:r>
    </w:p>
    <w:p w:rsidR="00066E22" w:rsidRPr="0072735D" w:rsidRDefault="00066E22" w:rsidP="0072735D">
      <w:pPr>
        <w:numPr>
          <w:ilvl w:val="0"/>
          <w:numId w:val="32"/>
        </w:numPr>
        <w:tabs>
          <w:tab w:val="left" w:pos="720"/>
          <w:tab w:val="left" w:pos="1080"/>
        </w:tabs>
        <w:ind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jest wpisany do  Rejestru działalności regulowanej w zakresie odbierania odpadów komunalnych od właścicieli nieruchomości, prowadzonego przez Burmistrza Chodcza w trybie ustawy o utrzymaniu czystości porządku w gminie</w:t>
      </w:r>
      <w:r w:rsidRPr="0072735D">
        <w:rPr>
          <w:rFonts w:asciiTheme="minorHAnsi" w:hAnsiTheme="minorHAnsi" w:cstheme="minorHAnsi"/>
          <w:sz w:val="22"/>
          <w:szCs w:val="22"/>
        </w:rPr>
        <w:t>,</w:t>
      </w:r>
    </w:p>
    <w:p w:rsidR="00066E22" w:rsidRPr="0072735D" w:rsidRDefault="00066E22" w:rsidP="0072735D">
      <w:pPr>
        <w:numPr>
          <w:ilvl w:val="0"/>
          <w:numId w:val="32"/>
        </w:numPr>
        <w:tabs>
          <w:tab w:val="left" w:pos="720"/>
          <w:tab w:val="left" w:pos="1080"/>
        </w:tabs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spełnia warunki rozporządzenia Ministra Środowiska z dnia 11 stycznia 2013 roku w sprawie szczegółowych wymagań w zakresie odbierania odpadów komunalnych od właścicieli nieruchomości</w:t>
      </w:r>
      <w:r w:rsidRPr="0072735D">
        <w:rPr>
          <w:rFonts w:asciiTheme="minorHAnsi" w:hAnsiTheme="minorHAnsi" w:cstheme="minorHAnsi"/>
          <w:sz w:val="22"/>
          <w:szCs w:val="22"/>
        </w:rPr>
        <w:t>.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cstheme="minorHAnsi"/>
        </w:rPr>
        <w:t xml:space="preserve">Wykonawca oświadcza, że posiada potencjał techniczny niezbędny do wykonania niniejszej umowy. W szczególności Wykonawca oświadcza, że posiada wymaganą ilość oraz rodzaj środków transportu oraz bazę magazynową zgodnie z rozporządzeniem </w:t>
      </w:r>
      <w:r w:rsidRPr="0072735D">
        <w:rPr>
          <w:rFonts w:cstheme="minorHAnsi"/>
          <w:color w:val="000000"/>
        </w:rPr>
        <w:t>ministra środowiska</w:t>
      </w:r>
      <w:r w:rsidRPr="0072735D">
        <w:rPr>
          <w:rFonts w:cstheme="minorHAnsi"/>
          <w:color w:val="000000"/>
          <w:position w:val="6"/>
        </w:rPr>
        <w:t xml:space="preserve"> </w:t>
      </w:r>
      <w:r w:rsidRPr="0072735D">
        <w:rPr>
          <w:rFonts w:cstheme="minorHAnsi"/>
          <w:color w:val="000000"/>
        </w:rPr>
        <w:t>z dnia 11 stycznia 2013 r. w sprawie szczegółowych wymagań w zakresie odbierania odpadów komunalnych od właścicieli nieruchomości.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eastAsia="Times New Roman" w:cstheme="minorHAnsi"/>
        </w:rPr>
        <w:t xml:space="preserve">Wykonawca </w:t>
      </w:r>
      <w:r w:rsidRPr="0072735D">
        <w:rPr>
          <w:rFonts w:cstheme="minorHAnsi"/>
        </w:rPr>
        <w:t>zobowiązuje się</w:t>
      </w:r>
      <w:r w:rsidRPr="0072735D">
        <w:rPr>
          <w:rFonts w:eastAsia="Times New Roman" w:cstheme="minorHAnsi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72735D">
        <w:rPr>
          <w:rFonts w:cstheme="minorHAnsi"/>
        </w:rPr>
        <w:t xml:space="preserve"> </w:t>
      </w:r>
      <w:r w:rsidRPr="0072735D">
        <w:rPr>
          <w:rFonts w:eastAsia="Times New Roman" w:cstheme="minorHAnsi"/>
        </w:rPr>
        <w:t xml:space="preserve">i higieny pracy przy gospodarowaniu odpadami komunalnymi </w:t>
      </w:r>
      <w:r w:rsidRPr="0072735D">
        <w:rPr>
          <w:rFonts w:eastAsia="Times New Roman" w:cstheme="minorHAnsi"/>
          <w:color w:val="000000"/>
        </w:rPr>
        <w:t xml:space="preserve">i postanowieniami regulaminu utrzymania czystości i porządku w gminie. 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cstheme="minorHAnsi"/>
        </w:rPr>
        <w:t xml:space="preserve">Wykonawca zobowiązuje się do spełniania wymagań określonych w ust. </w:t>
      </w:r>
      <w:r w:rsidRPr="0072735D">
        <w:rPr>
          <w:rFonts w:cstheme="minorHAnsi"/>
        </w:rPr>
        <w:t xml:space="preserve">2, 3 i 4 </w:t>
      </w:r>
      <w:r w:rsidRPr="0072735D">
        <w:rPr>
          <w:rFonts w:cstheme="minorHAnsi"/>
        </w:rPr>
        <w:t>przez cały okres trwania umowy.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="00066E22">
        <w:rPr>
          <w:rFonts w:asciiTheme="minorHAnsi" w:hAnsiTheme="minorHAnsi" w:cstheme="minorHAnsi"/>
          <w:b/>
          <w:sz w:val="22"/>
          <w:szCs w:val="22"/>
        </w:rPr>
        <w:t>12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miesięcy od dnia zawarcia umowy, tj. do dnia ………</w:t>
      </w:r>
    </w:p>
    <w:bookmarkEnd w:id="1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66E22" w:rsidRPr="00066E22" w:rsidRDefault="00066E22" w:rsidP="00066E22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E2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Pr="00066E22">
        <w:rPr>
          <w:rFonts w:asciiTheme="minorHAnsi" w:hAnsiTheme="minorHAnsi" w:cstheme="minorHAnsi"/>
          <w:b/>
          <w:sz w:val="22"/>
          <w:szCs w:val="22"/>
        </w:rPr>
        <w:t>3</w:t>
      </w:r>
    </w:p>
    <w:p w:rsidR="00066E22" w:rsidRPr="00066E22" w:rsidRDefault="00066E22" w:rsidP="00066E22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E22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Wykonawca zobowiązany jest do wykonywania przedmiotu zamówienia zgodnie z obowiązującymi przepisami prawa w szczególności:</w:t>
      </w:r>
    </w:p>
    <w:p w:rsidR="00066E22" w:rsidRPr="00066E22" w:rsidRDefault="00066E22" w:rsidP="00066E22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Ustawa z dnia 13 września 1996r. o utrzymaniu czystości i porządku w gminach (Dz.U. 2021r. poz. 888 ze zm.)</w:t>
      </w:r>
    </w:p>
    <w:p w:rsidR="00066E22" w:rsidRPr="00066E22" w:rsidRDefault="00066E22" w:rsidP="00066E22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Ustawa z dnia 14 grudnia 2012r. o odpadach (Dz. U. z 2021r. poz. 779 ze zm.)</w:t>
      </w:r>
    </w:p>
    <w:p w:rsidR="00066E22" w:rsidRPr="00066E22" w:rsidRDefault="00066E22" w:rsidP="00066E22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Ustawa z dnia 27 kwietnia 2001r. Prawo ochrony środowiska (Dz.U. z 2020r. poz. 1219 ze zm.)</w:t>
      </w:r>
    </w:p>
    <w:p w:rsidR="00066E22" w:rsidRPr="00066E22" w:rsidRDefault="00066E22" w:rsidP="00066E22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Ustawa z dnia 11 września 2015r. o zużytym sprzęcie elektrycznym i elektronicznym ( Dz.U. z 2020r. poz. 1893)</w:t>
      </w:r>
    </w:p>
    <w:p w:rsidR="00066E22" w:rsidRPr="00066E22" w:rsidRDefault="00066E22" w:rsidP="00066E22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Rozporządzenie Ministra Środowiska w sprawie poziomów recyklingu, przygotowania do ponownego użycia  i odzysku innymi metodami niektórych frakcji odpadów komunalnych – w brzmieniu obowiązującym w czasie realizacji umowy,</w:t>
      </w:r>
    </w:p>
    <w:p w:rsidR="00066E22" w:rsidRPr="00066E22" w:rsidRDefault="00066E22" w:rsidP="00066E22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Rozporządzenie Ministra Środowiska z dnia 15 grudnia 2017r. w sprawie poziomów ograniczenia składowania masy odpadów komunalnych  ulegających biodegradacji (Dz.U. z 2017r. poz. 2412)</w:t>
      </w:r>
    </w:p>
    <w:p w:rsidR="00066E22" w:rsidRPr="00066E22" w:rsidRDefault="00066E22" w:rsidP="00066E22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Uchwała Nr XXXII/545/17 Sejmiku Województwa Kujawsko – Pomorskiego z dnia 29 maja 2017r.  w sprawie „Planu gospodarki odpadami województwa kujawsko – pomorskiego na lata 2016-2022 z perspektywą na lata 2023-2028”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066E22">
        <w:rPr>
          <w:rFonts w:cstheme="minorHAnsi"/>
        </w:rPr>
        <w:t xml:space="preserve">Wykonawca jest zobowiązany do odbierania </w:t>
      </w:r>
      <w:r w:rsidRPr="00066E22">
        <w:rPr>
          <w:rFonts w:cstheme="minorHAnsi"/>
          <w:b/>
        </w:rPr>
        <w:t xml:space="preserve">odpadów komunalnych </w:t>
      </w:r>
      <w:r w:rsidRPr="00066E22">
        <w:rPr>
          <w:rFonts w:eastAsia="Times New Roman" w:cstheme="minorHAnsi"/>
          <w:b/>
        </w:rPr>
        <w:t>stanowiących pozostałości z segregacji (resztki)</w:t>
      </w:r>
      <w:r w:rsidRPr="00066E22">
        <w:rPr>
          <w:rFonts w:cstheme="minorHAnsi"/>
        </w:rPr>
        <w:t xml:space="preserve"> od właścicieli </w:t>
      </w:r>
      <w:r w:rsidRPr="00066E22">
        <w:rPr>
          <w:rFonts w:cstheme="minorHAnsi"/>
          <w:color w:val="000000"/>
        </w:rPr>
        <w:t xml:space="preserve">domków letniskowych oraz innych nieruchomości wykorzystywanych na cele rekreacyjno-wypoczynkowe </w:t>
      </w:r>
      <w:r w:rsidRPr="00066E22">
        <w:rPr>
          <w:rFonts w:cstheme="minorHAnsi"/>
        </w:rPr>
        <w:t xml:space="preserve">położonych na terenie Gminy Chodecz z wyznaczonych do tego celu 15 </w:t>
      </w:r>
      <w:r w:rsidRPr="00066E22">
        <w:rPr>
          <w:rFonts w:eastAsia="Times New Roman" w:cstheme="minorHAnsi"/>
          <w:lang w:eastAsia="zh-CN"/>
        </w:rPr>
        <w:t>ogólnodostępnych punktów zbiorczych odbioru odpadów komunalnych</w:t>
      </w:r>
      <w:r w:rsidRPr="00066E22">
        <w:rPr>
          <w:rFonts w:cstheme="minorHAnsi"/>
        </w:rPr>
        <w:t xml:space="preserve"> </w:t>
      </w:r>
      <w:r w:rsidRPr="00066E22">
        <w:rPr>
          <w:rFonts w:eastAsia="Times New Roman" w:cstheme="minorHAnsi"/>
        </w:rPr>
        <w:t xml:space="preserve">stanowiących pozostałości z segregacji  (resztki) </w:t>
      </w:r>
      <w:r w:rsidRPr="00066E22">
        <w:rPr>
          <w:rFonts w:cstheme="minorHAnsi"/>
        </w:rPr>
        <w:t>z następującą częstotliwością</w:t>
      </w:r>
      <w:r w:rsidRPr="00066E22">
        <w:rPr>
          <w:rFonts w:eastAsia="Times New Roman" w:cstheme="minorHAnsi"/>
          <w:lang w:eastAsia="zh-CN"/>
        </w:rPr>
        <w:t xml:space="preserve"> w ciągu czasu trwania umowy: </w:t>
      </w:r>
      <w:r w:rsidRPr="00066E22">
        <w:rPr>
          <w:rFonts w:eastAsia="Times New Roman" w:cstheme="minorHAnsi"/>
          <w:u w:val="single"/>
        </w:rPr>
        <w:t>dwa razy w miesiącu (w pierwszy i trzeci poniedziałek miesiąca) w miesiącach: styczeń, luty, marzec, kwiecień,</w:t>
      </w:r>
      <w:r w:rsidRPr="00066E22">
        <w:rPr>
          <w:rFonts w:eastAsia="Times New Roman" w:cstheme="minorHAnsi"/>
          <w:color w:val="00000A"/>
          <w:u w:val="single"/>
        </w:rPr>
        <w:t xml:space="preserve"> wrzesień, październik, listopad, grudzień 2022 r. oraz dwa razy w tygodniu (w poniedziałek i piątek) w miesiącach: maj, czerwiec, lipiec, sierpień 2022 r.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066E22">
        <w:rPr>
          <w:rFonts w:cstheme="minorHAnsi"/>
        </w:rPr>
        <w:t xml:space="preserve">Wykonawca jest zobowiązany do </w:t>
      </w:r>
      <w:r w:rsidRPr="00066E22">
        <w:rPr>
          <w:rFonts w:cstheme="minorHAnsi"/>
          <w:b/>
        </w:rPr>
        <w:t xml:space="preserve">odbierania </w:t>
      </w:r>
      <w:r w:rsidRPr="00066E22">
        <w:rPr>
          <w:rFonts w:eastAsia="Times New Roman" w:cstheme="minorHAnsi"/>
          <w:b/>
          <w:lang w:eastAsia="zh-CN"/>
        </w:rPr>
        <w:t>odpadów zbieranych selektywnie</w:t>
      </w:r>
      <w:r w:rsidRPr="00066E22">
        <w:rPr>
          <w:rFonts w:cstheme="minorHAnsi"/>
          <w:b/>
          <w:lang w:eastAsia="zh-CN"/>
        </w:rPr>
        <w:t xml:space="preserve"> </w:t>
      </w:r>
      <w:r w:rsidRPr="00066E22">
        <w:rPr>
          <w:rFonts w:eastAsia="Times New Roman" w:cstheme="minorHAnsi"/>
          <w:b/>
          <w:color w:val="00000A"/>
        </w:rPr>
        <w:t xml:space="preserve">(papier, szkło, metale i tworzywa sztuczne) </w:t>
      </w:r>
      <w:r w:rsidRPr="00066E22">
        <w:rPr>
          <w:rFonts w:cstheme="minorHAnsi"/>
        </w:rPr>
        <w:t xml:space="preserve">od właścicieli domków letniskowych oraz innych nieruchomości wykorzystywanych na cele rekreacyjno-wypoczynkowe położonych na terenie Gminy Chodecz z wyznaczonych do tego celu 15 </w:t>
      </w:r>
      <w:r w:rsidRPr="00066E22">
        <w:rPr>
          <w:rFonts w:eastAsia="Times New Roman" w:cstheme="minorHAnsi"/>
          <w:lang w:eastAsia="zh-CN"/>
        </w:rPr>
        <w:t>ogólnodostępnych punktów zbiorczych odbioru odpadów komunalnych</w:t>
      </w:r>
      <w:r w:rsidRPr="00066E22">
        <w:rPr>
          <w:rFonts w:cstheme="minorHAnsi"/>
        </w:rPr>
        <w:t xml:space="preserve"> z następującą częstotliwością</w:t>
      </w:r>
      <w:r w:rsidRPr="00066E22">
        <w:rPr>
          <w:rFonts w:eastAsia="Times New Roman" w:cstheme="minorHAnsi"/>
          <w:lang w:eastAsia="zh-CN"/>
        </w:rPr>
        <w:t xml:space="preserve"> </w:t>
      </w:r>
      <w:r w:rsidRPr="00066E22">
        <w:rPr>
          <w:rFonts w:eastAsia="Times New Roman" w:cstheme="minorHAnsi"/>
          <w:color w:val="00000A"/>
        </w:rPr>
        <w:t xml:space="preserve">w ciągu czasu trwania umowy: </w:t>
      </w:r>
      <w:r w:rsidRPr="00066E22">
        <w:rPr>
          <w:rFonts w:eastAsia="Times New Roman" w:cstheme="minorHAnsi"/>
          <w:color w:val="00000A"/>
          <w:u w:val="single"/>
        </w:rPr>
        <w:t>raz w miesiącu (w pierwszy poniedziałek miesiąca) w miesiącach: styczeń, luty, marzec, kwiecień, maj, wrzesień, październik, listopad, grudzień 2022 r. oraz dwa razy w miesiącu (w pierwszy i trzeci poniedziałek miesiąca) w miesiącach: czerwiec, lipiec, sierpień 2022 r.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066E22">
        <w:rPr>
          <w:rFonts w:cstheme="minorHAnsi"/>
        </w:rPr>
        <w:t xml:space="preserve">Wykonawca jest zobowiązany do </w:t>
      </w:r>
      <w:r w:rsidRPr="00066E22">
        <w:rPr>
          <w:rFonts w:cstheme="minorHAnsi"/>
          <w:b/>
        </w:rPr>
        <w:t xml:space="preserve">odbierania </w:t>
      </w:r>
      <w:r w:rsidRPr="00066E22">
        <w:rPr>
          <w:rFonts w:eastAsia="Times New Roman" w:cstheme="minorHAnsi"/>
          <w:b/>
        </w:rPr>
        <w:t>bioodpadów</w:t>
      </w:r>
      <w:r w:rsidRPr="00066E22">
        <w:rPr>
          <w:rFonts w:eastAsia="Times New Roman" w:cstheme="minorHAnsi"/>
          <w:b/>
          <w:color w:val="00000A"/>
        </w:rPr>
        <w:t xml:space="preserve"> </w:t>
      </w:r>
      <w:r w:rsidRPr="00066E22">
        <w:rPr>
          <w:rFonts w:cstheme="minorHAnsi"/>
        </w:rPr>
        <w:t xml:space="preserve">od właścicieli domków letniskowych oraz innych nieruchomości wykorzystywanych na cele rekreacyjno-wypoczynkowe położonych na terenie Gminy Chodecz z wyznaczonych do tego celu 15 </w:t>
      </w:r>
      <w:r w:rsidRPr="00066E22">
        <w:rPr>
          <w:rFonts w:eastAsia="Times New Roman" w:cstheme="minorHAnsi"/>
          <w:lang w:eastAsia="zh-CN"/>
        </w:rPr>
        <w:t>ogólnodostępnych punktów zbiorczych odbioru odpadów komunalnych</w:t>
      </w:r>
      <w:r w:rsidRPr="00066E22">
        <w:rPr>
          <w:rFonts w:cstheme="minorHAnsi"/>
        </w:rPr>
        <w:t xml:space="preserve"> z następującą częstotliwością</w:t>
      </w:r>
      <w:r w:rsidRPr="00066E22">
        <w:rPr>
          <w:rFonts w:eastAsia="Times New Roman" w:cstheme="minorHAnsi"/>
          <w:lang w:eastAsia="zh-CN"/>
        </w:rPr>
        <w:t xml:space="preserve"> </w:t>
      </w:r>
      <w:r w:rsidRPr="00066E22">
        <w:rPr>
          <w:rFonts w:eastAsia="Times New Roman" w:cstheme="minorHAnsi"/>
          <w:color w:val="00000A"/>
        </w:rPr>
        <w:t>w ciągu czasu trwania umowy:</w:t>
      </w:r>
      <w:r w:rsidRPr="00066E22">
        <w:rPr>
          <w:rFonts w:eastAsia="Times New Roman" w:cstheme="minorHAnsi"/>
          <w:color w:val="00000A"/>
          <w:u w:val="single"/>
        </w:rPr>
        <w:t xml:space="preserve"> </w:t>
      </w:r>
      <w:r w:rsidRPr="00066E22">
        <w:rPr>
          <w:rFonts w:eastAsia="Times New Roman" w:cstheme="minorHAnsi"/>
          <w:u w:val="single"/>
        </w:rPr>
        <w:t>raz w miesiącu (w pierwszy poniedziałek miesiąca w miesiącach: styczeń, luty, marzec, listopad, grudzień 2022 r. oraz dwa razy w miesiącu (w pierwszy i trzeci poniedziałek miesiąca) w miesiącach: kwiecień, maj, czerwiec, lipiec, sierpień , wrzesień, październik 2022 r.</w:t>
      </w:r>
      <w:r w:rsidRPr="00066E22">
        <w:rPr>
          <w:rFonts w:eastAsia="Times New Roman" w:cstheme="minorHAnsi"/>
          <w:u w:val="single"/>
        </w:rPr>
        <w:t>.</w:t>
      </w:r>
    </w:p>
    <w:p w:rsidR="00066E22" w:rsidRPr="00066E22" w:rsidRDefault="00066E22" w:rsidP="00066E22">
      <w:pPr>
        <w:pStyle w:val="Normalny1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sz w:val="22"/>
          <w:szCs w:val="22"/>
          <w:lang w:val="pl-PL"/>
        </w:rPr>
        <w:t>Jeśli w dniu odbioru odpadów przypada święto wolne od pracy, to Wykonawca zobowiązany jest do odbioru odpadów w następny dzień roboczy po dniu, w którym przypada to święto.</w:t>
      </w:r>
    </w:p>
    <w:p w:rsidR="00066E22" w:rsidRPr="00066E22" w:rsidRDefault="00066E22" w:rsidP="00066E22">
      <w:pPr>
        <w:pStyle w:val="Normalny1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sz w:val="22"/>
          <w:szCs w:val="22"/>
          <w:lang w:val="pl-PL"/>
        </w:rPr>
        <w:t>Wykonawca na czas realizacji przedmiotu umowy:</w:t>
      </w:r>
    </w:p>
    <w:p w:rsidR="00066E22" w:rsidRPr="00066E22" w:rsidRDefault="00066E22" w:rsidP="00066E2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66E22">
        <w:rPr>
          <w:rFonts w:eastAsia="Times New Roman" w:cstheme="minorHAnsi"/>
          <w:lang w:eastAsia="zh-CN"/>
        </w:rPr>
        <w:t xml:space="preserve">wyposaża każdy z 15 ogólnodostępnych punktów zbiorczych odbioru odpadów komunalnych wyznaczonych na terenach rekreacyjno-wypoczynkowych, w co najmniej 3 pojemniki o </w:t>
      </w:r>
      <w:r w:rsidRPr="00066E22">
        <w:rPr>
          <w:rFonts w:cstheme="minorHAnsi"/>
        </w:rPr>
        <w:t xml:space="preserve">min. pojemności 1100 l przeznaczone do gromadzenia odpadów komunalnych </w:t>
      </w:r>
      <w:r w:rsidRPr="00066E22">
        <w:rPr>
          <w:rFonts w:eastAsia="Times New Roman" w:cstheme="minorHAnsi"/>
        </w:rPr>
        <w:t>stanowiących pozostałości z segregacji (resztki)</w:t>
      </w:r>
      <w:r w:rsidRPr="00066E22">
        <w:rPr>
          <w:rFonts w:cstheme="minorHAnsi"/>
        </w:rPr>
        <w:t>;</w:t>
      </w:r>
    </w:p>
    <w:p w:rsidR="00066E22" w:rsidRPr="00066E22" w:rsidRDefault="00066E22" w:rsidP="00066E2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66E22">
        <w:rPr>
          <w:rFonts w:eastAsia="Times New Roman" w:cstheme="minorHAnsi"/>
        </w:rPr>
        <w:t xml:space="preserve">wyposaża każdy z 15 ogólnodostępnych punktów zbiorczych odbioru odpadów komunalnych wyznaczonych na terenach rekreacyjno-wypoczynkowych, w co najmniej 1 pojemnik o </w:t>
      </w:r>
      <w:r w:rsidRPr="00066E22">
        <w:rPr>
          <w:rFonts w:cstheme="minorHAnsi"/>
        </w:rPr>
        <w:t>min. pojemności 1100 l dla każdej z ww. frakcji odpadów</w:t>
      </w:r>
      <w:r w:rsidRPr="00066E22">
        <w:rPr>
          <w:rFonts w:cstheme="minorHAnsi"/>
        </w:rPr>
        <w:t xml:space="preserve"> (</w:t>
      </w:r>
      <w:r w:rsidRPr="00066E22">
        <w:rPr>
          <w:rFonts w:eastAsia="Times New Roman" w:cstheme="minorHAnsi"/>
          <w:color w:val="00000A"/>
        </w:rPr>
        <w:t>k</w:t>
      </w:r>
      <w:r w:rsidRPr="00066E22">
        <w:rPr>
          <w:rFonts w:eastAsia="Times New Roman" w:cstheme="minorHAnsi"/>
          <w:color w:val="00000A"/>
        </w:rPr>
        <w:t>ażdy z pojemników musi być osobno oznaczony, do jakiego rodzaju odpadów komunalnych jest przeznaczony</w:t>
      </w:r>
      <w:r w:rsidRPr="00066E22">
        <w:rPr>
          <w:rFonts w:eastAsia="Times New Roman" w:cstheme="minorHAnsi"/>
          <w:color w:val="00000A"/>
        </w:rPr>
        <w:t>)</w:t>
      </w:r>
      <w:r w:rsidRPr="00066E22">
        <w:rPr>
          <w:rFonts w:cstheme="minorHAnsi"/>
        </w:rPr>
        <w:t>:</w:t>
      </w:r>
    </w:p>
    <w:p w:rsidR="00066E22" w:rsidRPr="00066E22" w:rsidRDefault="00066E22" w:rsidP="00066E22">
      <w:pPr>
        <w:pStyle w:val="Normalny1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- 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pojemnik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do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gromadzenia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odpadów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z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papieru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;</w:t>
      </w:r>
    </w:p>
    <w:p w:rsidR="00066E22" w:rsidRPr="00066E22" w:rsidRDefault="00066E22" w:rsidP="00066E22">
      <w:pPr>
        <w:pStyle w:val="Normalny1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lastRenderedPageBreak/>
        <w:t xml:space="preserve">- 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pojemnik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do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gromadzenia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odpadów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z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szkła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;</w:t>
      </w:r>
    </w:p>
    <w:p w:rsidR="00066E22" w:rsidRPr="00066E22" w:rsidRDefault="00066E22" w:rsidP="00066E22">
      <w:pPr>
        <w:pStyle w:val="Normalny1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- 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pojemnik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do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gromadzenia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odpadów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z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metali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i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tworzyw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sztucznych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;</w:t>
      </w:r>
    </w:p>
    <w:p w:rsidR="00066E22" w:rsidRPr="00066E22" w:rsidRDefault="00066E22" w:rsidP="00066E22">
      <w:pPr>
        <w:pStyle w:val="Normalny1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-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pojemnik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do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gromadzenia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odpadów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ulegających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biodegradacji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, ze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szczególnym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uwzględnieniem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bioodpadów</w:t>
      </w:r>
      <w:proofErr w:type="spellEnd"/>
      <w:r w:rsidRPr="00066E22">
        <w:rPr>
          <w:rFonts w:asciiTheme="minorHAnsi" w:eastAsia="Times New Roman" w:hAnsiTheme="minorHAnsi" w:cstheme="minorHAnsi"/>
          <w:color w:val="00000A"/>
          <w:sz w:val="22"/>
          <w:szCs w:val="22"/>
        </w:rPr>
        <w:t>.</w:t>
      </w:r>
    </w:p>
    <w:p w:rsidR="00066E22" w:rsidRPr="00066E22" w:rsidRDefault="00066E22" w:rsidP="00066E22">
      <w:pPr>
        <w:pStyle w:val="Normalny1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066E22">
        <w:rPr>
          <w:rFonts w:asciiTheme="minorHAnsi" w:hAnsiTheme="minorHAnsi" w:cstheme="minorHAnsi"/>
          <w:sz w:val="22"/>
          <w:szCs w:val="22"/>
        </w:rPr>
        <w:t>umożliwia</w:t>
      </w:r>
      <w:proofErr w:type="spellEnd"/>
      <w:r w:rsidRPr="00066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6E22">
        <w:rPr>
          <w:rFonts w:asciiTheme="minorHAnsi" w:hAnsiTheme="minorHAnsi" w:cstheme="minorHAnsi"/>
          <w:sz w:val="22"/>
          <w:szCs w:val="22"/>
        </w:rPr>
        <w:t>odpłatnie</w:t>
      </w:r>
      <w:proofErr w:type="spellEnd"/>
      <w:r w:rsidRPr="00066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6E22">
        <w:rPr>
          <w:rFonts w:asciiTheme="minorHAnsi" w:hAnsiTheme="minorHAnsi" w:cstheme="minorHAnsi"/>
          <w:sz w:val="22"/>
          <w:szCs w:val="22"/>
        </w:rPr>
        <w:t>właścicielom</w:t>
      </w:r>
      <w:proofErr w:type="spellEnd"/>
      <w:r w:rsidRPr="00066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6E22">
        <w:rPr>
          <w:rFonts w:asciiTheme="minorHAnsi" w:hAnsiTheme="minorHAnsi" w:cstheme="minorHAnsi"/>
          <w:sz w:val="22"/>
          <w:szCs w:val="22"/>
        </w:rPr>
        <w:t>nieruchomości</w:t>
      </w:r>
      <w:proofErr w:type="spellEnd"/>
      <w:r w:rsidRPr="00066E22">
        <w:rPr>
          <w:rFonts w:asciiTheme="minorHAnsi" w:hAnsiTheme="minorHAnsi" w:cstheme="minorHAnsi"/>
          <w:sz w:val="22"/>
          <w:szCs w:val="22"/>
        </w:rPr>
        <w:t xml:space="preserve"> wykorzystywanych na cele rekreacyjno-wypoczynkowe wyposażenie w pojemniki (worki) do gromadzenia odpadów zbieranych selektywnie bez udziału Zamawiającego, jeżeli zgłoszą taką potrzebę.</w:t>
      </w:r>
    </w:p>
    <w:p w:rsidR="00066E22" w:rsidRPr="00066E22" w:rsidRDefault="00066E22" w:rsidP="00066E22">
      <w:pPr>
        <w:pStyle w:val="Normalny1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sz w:val="22"/>
          <w:szCs w:val="22"/>
          <w:lang w:val="pl-PL"/>
        </w:rPr>
        <w:t>Wykonawca ma obowiązek prowadzenia ewidencji rodzajowej i ilościowej przyjmowanych odpadów poprzez zważenie na legalizowanej wadze lub określenie w inny sposób ilości przyjętych odpadów, a następnie odnotowanie jej w ewidencji.</w:t>
      </w:r>
      <w:r w:rsidRPr="00066E2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E22">
        <w:rPr>
          <w:rFonts w:asciiTheme="minorHAnsi" w:eastAsia="Times New Roman" w:hAnsiTheme="minorHAnsi" w:cstheme="minorHAnsi"/>
          <w:sz w:val="22"/>
          <w:szCs w:val="22"/>
          <w:lang w:val="pl-PL"/>
        </w:rPr>
        <w:t>Ewidencję odpadów należy prowadzić z zastosowaniem kart przekazania odpadów komunalnych sporządzonych zgodnie z obowiązującymi w tym zakresie przepisami prawa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066E22">
        <w:rPr>
          <w:rFonts w:eastAsia="Times New Roman" w:cstheme="minorHAnsi"/>
        </w:rPr>
        <w:t xml:space="preserve">Wykonawca jest zobowiązany do przedkładania Zamawiającemu najpóźniej wraz z fakturą za dany okres rozliczeniowy raportów miesięcznych, kwitów wagowych zawierających wyszczególnienie miejsca odbioru odpadów oraz ilości i rodzaju odebranych odpadów (zgodnie z obowiązująca klasyfikacją odpadów), na których znajdować się winna adnotacja, że odpady pochodzą z terenu Gminy </w:t>
      </w:r>
      <w:r w:rsidRPr="00066E22">
        <w:rPr>
          <w:rFonts w:eastAsia="Calibri" w:cstheme="minorHAnsi"/>
        </w:rPr>
        <w:t>Chodecz</w:t>
      </w:r>
      <w:r w:rsidRPr="00066E22">
        <w:rPr>
          <w:rFonts w:eastAsia="Times New Roman" w:cstheme="minorHAnsi"/>
        </w:rPr>
        <w:t>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066E22">
        <w:rPr>
          <w:rFonts w:cstheme="minorHAnsi"/>
        </w:rPr>
        <w:t xml:space="preserve">Wykonawca jest </w:t>
      </w:r>
      <w:r w:rsidRPr="00066E22">
        <w:rPr>
          <w:rFonts w:eastAsia="Calibri" w:cstheme="minorHAnsi"/>
        </w:rPr>
        <w:t>odpowiedzialny za jakość wykonywanych prac, utrzymanie ładu i porządku w miejscu prowadzonych prac, usuwanie wszelkich nieczystości i odpadów oraz innych pozostałości po wykonanej usłudze.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066E22">
        <w:rPr>
          <w:rFonts w:cstheme="minorHAnsi"/>
        </w:rPr>
        <w:t>Wykonawca w ramach realizacji przedmiotu zamówienia nie będzie mógł mieszać selektywnie zebranych odpadów komunalnych ze zmieszanymi odpadami komunalnymi stanowiącymi pozostałości po segregacji odpadów a także nie będzie mógł  mieszać ze sobą poszczególnych frakcji selektywnie zebranych odpadów komunalnych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066E22">
        <w:rPr>
          <w:rFonts w:eastAsia="Times New Roman" w:cstheme="minorHAnsi"/>
        </w:rPr>
        <w:t>Wykonawca zobowiązany jest do ważenia wszystkich odpadów komunalnych na legalizowanej wadze i przechowywania dokumentacji pomiarów do wglądu przez Zamawiającego przez okres wykonywania zamówienia.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066E22">
        <w:rPr>
          <w:rFonts w:eastAsia="Times New Roman" w:cstheme="minorHAnsi"/>
        </w:rPr>
        <w:t>Wykonawca jest zobowiązany do odebrania każdej ilości odpadów, stanowiących przedmiot zamówienia.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line="240" w:lineRule="auto"/>
        <w:rPr>
          <w:rFonts w:cstheme="minorHAnsi"/>
        </w:rPr>
      </w:pPr>
      <w:r w:rsidRPr="00066E22">
        <w:rPr>
          <w:rFonts w:eastAsia="Times New Roman" w:cstheme="minorHAnsi"/>
        </w:rPr>
        <w:t>Wykonawca ponosi całkowitą odpowiedzialność za prawidłowe gospodarowanie odebranymi odpadami zgodnie z przepisami obowiązującymi w tym zakresie.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66E22">
        <w:rPr>
          <w:rFonts w:cstheme="minorHAnsi"/>
        </w:rPr>
        <w:t>Wykonawca podczas realizacji zamówienia obowiązany jest do osiągnięcia w danym roku kalendarzowym w odniesieniu do masy odebranych przez siebie odpadów komunalnych   poziomów recyklingu, przygotowania do ponownego użycia i odzysku innymi metodami oraz ograniczenia masy odpadów komunalnych ulegających biodegradacji przekazywanych do składowania, określonych w stosownych przepisach prawa.</w:t>
      </w:r>
    </w:p>
    <w:p w:rsidR="00066E22" w:rsidRPr="00066E22" w:rsidRDefault="00066E22" w:rsidP="00066E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66E22">
        <w:rPr>
          <w:rFonts w:cstheme="minorHAnsi"/>
          <w:color w:val="00000A"/>
        </w:rPr>
        <w:t>Wykonawca ma obowiązek przekazania:</w:t>
      </w:r>
    </w:p>
    <w:p w:rsidR="00066E22" w:rsidRPr="00066E22" w:rsidRDefault="00066E22" w:rsidP="00066E22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hAnsiTheme="minorHAnsi" w:cstheme="minorHAnsi"/>
          <w:sz w:val="22"/>
          <w:szCs w:val="22"/>
        </w:rPr>
        <w:t xml:space="preserve">zebranych odpadów ulegających biodegradacji, w tym odpady zielone, odpadów komunalnych </w:t>
      </w:r>
      <w:r w:rsidRPr="00066E22">
        <w:rPr>
          <w:rFonts w:asciiTheme="minorHAnsi" w:hAnsiTheme="minorHAnsi" w:cstheme="minorHAnsi"/>
          <w:color w:val="auto"/>
          <w:sz w:val="22"/>
          <w:szCs w:val="22"/>
        </w:rPr>
        <w:t xml:space="preserve">stanowiących pozostałości z segregacji (resztki) - </w:t>
      </w:r>
      <w:r w:rsidRPr="00066E22">
        <w:rPr>
          <w:rFonts w:asciiTheme="minorHAnsi" w:hAnsiTheme="minorHAnsi" w:cstheme="minorHAnsi"/>
          <w:sz w:val="22"/>
          <w:szCs w:val="22"/>
        </w:rPr>
        <w:t>zgodnie z obowiązującymi przepisami prawa do instalacji komunalnych.</w:t>
      </w:r>
    </w:p>
    <w:p w:rsidR="00066E22" w:rsidRPr="00066E22" w:rsidRDefault="00066E22" w:rsidP="00066E22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hAnsiTheme="minorHAnsi" w:cstheme="minorHAnsi"/>
          <w:sz w:val="22"/>
          <w:szCs w:val="22"/>
        </w:rPr>
        <w:t>selektywnie zbierane odpadów komunalnych - na bieżąco do instalacji odzysku i unieszkodliwiania odpadów, uwzględniając hierarchię sposobów postępowania z odpadami oraz najlepszą dostępną technikę lub technologię, o której mowa w art. 143 ustawy z dnia 27 kwietnia 2001 r. Prawo ochrony środowiska do najbliżej położonego miejsca, w którym mogą być przetwarzane (art. 20 ust. 2 ustawy z dnia 14 grudnia 2012 r. o odpadach).</w:t>
      </w:r>
    </w:p>
    <w:p w:rsidR="00066E22" w:rsidRPr="00066E22" w:rsidRDefault="00066E22" w:rsidP="00066E22">
      <w:pPr>
        <w:pStyle w:val="Normalny1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Wykonawca zobowiązany jest do dysponowania punktem selektywnej zbiórki odpadów (tzw. PSZOK) na terenie Miasta i Gminy Chodecz w momencie podpisania umowy z Zamawiającym. PSZOK musi być tak dostosowany, aby umożliwić właścicielom działek letniskowych oraz innych nieruchomości wykorzystywanych na cele rekreacyjno-wypoczynkowe, dostarczanie do niego </w:t>
      </w: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następujących odpadów komunalnych: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1) przeterminowane leki i chemikalia,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2) zużyte baterie i akumulatory,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3) zużyty sprzęt elektryczny i elektroniczny,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4) meble i inne odpady wielkogabarytowe,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5) odpady budowlane i rozbiórkowe,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lastRenderedPageBreak/>
        <w:t>6) zużyte opony,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7) popiół,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8) odpady niekwalifikujące się do odpadów medycznych powstałych w gospodarstwie domowym, w wyniku przyjmowania produktów leczniczych w formie iniekcji i prowadzenia monitoringu poziomu substancji we krwi, w szczególności igieł i strzykawek,</w:t>
      </w:r>
    </w:p>
    <w:p w:rsidR="00066E22" w:rsidRPr="00066E22" w:rsidRDefault="00066E22" w:rsidP="00066E22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E22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9) odpady tekstyliów i odzieży.</w:t>
      </w:r>
    </w:p>
    <w:p w:rsidR="00066E22" w:rsidRPr="00066E22" w:rsidRDefault="00066E22" w:rsidP="00066E22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E22">
        <w:rPr>
          <w:rFonts w:asciiTheme="minorHAnsi" w:hAnsiTheme="minorHAnsi" w:cstheme="minorHAnsi"/>
          <w:sz w:val="22"/>
          <w:szCs w:val="22"/>
          <w:lang w:val="pl-PL"/>
        </w:rPr>
        <w:t>Wykonawca jest zobowiązany do informowania właścicieli nieruchomości o zasadach segregacji odpadów komunalnych oraz monitorowania obowiązku ciążącego na właścicielach nieruchomości w zakresie selektywnego odbierania odpadów komunalnych.</w:t>
      </w:r>
    </w:p>
    <w:p w:rsidR="00066E22" w:rsidRDefault="00066E22" w:rsidP="00066E2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4</w:t>
      </w: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>Sprawozdawczość</w:t>
      </w:r>
    </w:p>
    <w:p w:rsidR="0072735D" w:rsidRPr="0072735D" w:rsidRDefault="0072735D" w:rsidP="0072735D">
      <w:pPr>
        <w:pStyle w:val="Normalny1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2735D">
        <w:rPr>
          <w:rFonts w:asciiTheme="minorHAnsi" w:eastAsia="Times New Roman" w:hAnsiTheme="minorHAnsi" w:cstheme="minorHAnsi"/>
          <w:sz w:val="22"/>
          <w:szCs w:val="22"/>
          <w:lang w:val="pl-PL"/>
        </w:rPr>
        <w:t>Wykonawca jest zobowiązany do prowadzenia i przekazywania Zamawiającemu dokumentacji związanej z działalnością objętą zamówieniem, tj.</w:t>
      </w:r>
      <w:r w:rsidRPr="0072735D">
        <w:rPr>
          <w:rFonts w:asciiTheme="minorHAnsi" w:eastAsia="Times New Roman" w:hAnsiTheme="minorHAnsi" w:cstheme="minorHAnsi"/>
          <w:sz w:val="22"/>
          <w:szCs w:val="22"/>
          <w:lang w:val="pl-PL"/>
        </w:rPr>
        <w:t>:</w:t>
      </w:r>
    </w:p>
    <w:p w:rsidR="0072735D" w:rsidRPr="0072735D" w:rsidRDefault="0072735D" w:rsidP="0072735D">
      <w:pPr>
        <w:pStyle w:val="Normalny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  <w:lang w:val="pl-PL"/>
        </w:rPr>
        <w:t>rocznych sprawozdań o których mowa w art. 9 n ustawy o utrzymaniu czystości i porządku w gminach</w:t>
      </w:r>
      <w:r w:rsidRPr="0072735D">
        <w:rPr>
          <w:rFonts w:asciiTheme="minorHAnsi" w:eastAsia="Times New Roman" w:hAnsiTheme="minorHAnsi" w:cstheme="minorHAnsi"/>
          <w:sz w:val="22"/>
          <w:szCs w:val="22"/>
          <w:lang w:val="pl-PL"/>
        </w:rPr>
        <w:t>,</w:t>
      </w:r>
    </w:p>
    <w:p w:rsidR="0072735D" w:rsidRPr="0072735D" w:rsidRDefault="0072735D" w:rsidP="0072735D">
      <w:pPr>
        <w:pStyle w:val="Normalny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735D">
        <w:rPr>
          <w:rFonts w:asciiTheme="minorHAnsi" w:eastAsia="Times New Roman" w:hAnsiTheme="minorHAnsi" w:cstheme="minorHAnsi"/>
          <w:sz w:val="22"/>
          <w:szCs w:val="22"/>
        </w:rPr>
        <w:t>miesięcznych</w:t>
      </w:r>
      <w:proofErr w:type="spellEnd"/>
      <w:r w:rsidRPr="007273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72735D">
        <w:rPr>
          <w:rFonts w:asciiTheme="minorHAnsi" w:eastAsia="Times New Roman" w:hAnsiTheme="minorHAnsi" w:cstheme="minorHAnsi"/>
          <w:sz w:val="22"/>
          <w:szCs w:val="22"/>
        </w:rPr>
        <w:t>raportów</w:t>
      </w:r>
      <w:proofErr w:type="spellEnd"/>
      <w:r w:rsidRPr="007273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72735D">
        <w:rPr>
          <w:rFonts w:asciiTheme="minorHAnsi" w:eastAsia="Times New Roman" w:hAnsiTheme="minorHAnsi" w:cstheme="minorHAnsi"/>
          <w:sz w:val="22"/>
          <w:szCs w:val="22"/>
        </w:rPr>
        <w:t>zawierających</w:t>
      </w:r>
      <w:proofErr w:type="spellEnd"/>
      <w:r w:rsidRPr="007273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72735D">
        <w:rPr>
          <w:rFonts w:asciiTheme="minorHAnsi" w:eastAsia="Times New Roman" w:hAnsiTheme="minorHAnsi" w:cstheme="minorHAnsi"/>
          <w:sz w:val="22"/>
          <w:szCs w:val="22"/>
        </w:rPr>
        <w:t>informacje</w:t>
      </w:r>
      <w:proofErr w:type="spellEnd"/>
      <w:r w:rsidRPr="0072735D">
        <w:rPr>
          <w:rFonts w:asciiTheme="minorHAnsi" w:eastAsia="Times New Roman" w:hAnsiTheme="minorHAnsi" w:cstheme="minorHAnsi"/>
          <w:sz w:val="22"/>
          <w:szCs w:val="22"/>
        </w:rPr>
        <w:t xml:space="preserve"> o: nazwie i adresie instalacji, do której zostały przekazane odebrane odpady komunalne, kodach odebranych odpadów, masie odebranych odpadów, </w:t>
      </w:r>
      <w:proofErr w:type="spellStart"/>
      <w:r w:rsidRPr="0072735D">
        <w:rPr>
          <w:rFonts w:asciiTheme="minorHAnsi" w:eastAsia="Times New Roman" w:hAnsiTheme="minorHAnsi" w:cstheme="minorHAnsi"/>
          <w:sz w:val="22"/>
          <w:szCs w:val="22"/>
        </w:rPr>
        <w:t>sposobach</w:t>
      </w:r>
      <w:proofErr w:type="spellEnd"/>
      <w:r w:rsidRPr="007273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72735D">
        <w:rPr>
          <w:rFonts w:asciiTheme="minorHAnsi" w:eastAsia="Times New Roman" w:hAnsiTheme="minorHAnsi" w:cstheme="minorHAnsi"/>
          <w:sz w:val="22"/>
          <w:szCs w:val="22"/>
        </w:rPr>
        <w:t>zagospodarowania</w:t>
      </w:r>
      <w:proofErr w:type="spellEnd"/>
      <w:r w:rsidRPr="0072735D">
        <w:rPr>
          <w:rFonts w:asciiTheme="minorHAnsi" w:eastAsia="Times New Roman" w:hAnsiTheme="minorHAnsi" w:cstheme="minorHAnsi"/>
          <w:sz w:val="22"/>
          <w:szCs w:val="22"/>
        </w:rPr>
        <w:t xml:space="preserve"> w/w </w:t>
      </w:r>
      <w:proofErr w:type="spellStart"/>
      <w:r w:rsidRPr="0072735D">
        <w:rPr>
          <w:rFonts w:asciiTheme="minorHAnsi" w:eastAsia="Times New Roman" w:hAnsiTheme="minorHAnsi" w:cstheme="minorHAnsi"/>
          <w:sz w:val="22"/>
          <w:szCs w:val="22"/>
        </w:rPr>
        <w:t>odpadów</w:t>
      </w:r>
      <w:proofErr w:type="spellEnd"/>
      <w:r w:rsidRPr="0072735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066E22" w:rsidRPr="0072735D" w:rsidRDefault="00066E22" w:rsidP="0072735D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72735D">
        <w:rPr>
          <w:rFonts w:eastAsia="Times New Roman" w:cstheme="minorHAnsi"/>
          <w:color w:val="00000A"/>
        </w:rPr>
        <w:t>Sprawozdanie powinno zostać sporządzone zgodnie ze wzorem stanowiącym załącznik do Rozporządzenia Ministra Środowiska z dnia 26 lipca 2018 r. w sprawie wzorów sprawozdań o odebranych i zebranych odpadach komunalnych, odebranych nieczystościach ciekłych oraz realizacji zadań z zakresu gospodarki odpadami komunalnymi (Dz.U. 2018 poz. 1627).</w:t>
      </w:r>
    </w:p>
    <w:p w:rsidR="00066E22" w:rsidRPr="0072735D" w:rsidRDefault="00066E22" w:rsidP="0072735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</w:rPr>
      </w:pPr>
      <w:r w:rsidRPr="0072735D">
        <w:rPr>
          <w:rFonts w:eastAsia="Times New Roman" w:cstheme="minorHAnsi"/>
          <w:color w:val="000000"/>
        </w:rPr>
        <w:t>Podstawą do sporządzenia sprawozdań jest prowadzona przez Wykonawcę ewidencja</w:t>
      </w:r>
      <w:r w:rsidRPr="0072735D">
        <w:rPr>
          <w:rFonts w:cstheme="minorHAnsi"/>
          <w:color w:val="000000"/>
        </w:rPr>
        <w:t xml:space="preserve"> </w:t>
      </w:r>
      <w:r w:rsidRPr="0072735D">
        <w:rPr>
          <w:rFonts w:eastAsia="Times New Roman" w:cstheme="minorHAnsi"/>
          <w:color w:val="000000"/>
        </w:rPr>
        <w:t>w zakresie odbierania od właścicieli nieruchomości odpadów komunalnych  i</w:t>
      </w:r>
      <w:r w:rsidRPr="0072735D">
        <w:rPr>
          <w:rFonts w:cstheme="minorHAnsi"/>
          <w:color w:val="000000"/>
        </w:rPr>
        <w:t xml:space="preserve"> </w:t>
      </w:r>
      <w:r w:rsidRPr="0072735D">
        <w:rPr>
          <w:rFonts w:eastAsia="Times New Roman" w:cstheme="minorHAnsi"/>
          <w:color w:val="000000"/>
        </w:rPr>
        <w:t>przekazywania ich do instalacji, w tym karty przekazania odpadów i ewidencja instalacji</w:t>
      </w:r>
      <w:r w:rsidRPr="0072735D">
        <w:rPr>
          <w:rFonts w:cstheme="minorHAnsi"/>
          <w:color w:val="000000"/>
        </w:rPr>
        <w:t xml:space="preserve"> </w:t>
      </w:r>
      <w:r w:rsidRPr="0072735D">
        <w:rPr>
          <w:rFonts w:eastAsia="Times New Roman" w:cstheme="minorHAnsi"/>
          <w:color w:val="000000"/>
        </w:rPr>
        <w:t xml:space="preserve">w zakresie postępowania z odpadami zgodnie </w:t>
      </w:r>
      <w:r w:rsidRPr="0072735D">
        <w:rPr>
          <w:rFonts w:cstheme="minorHAnsi"/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komunalnymi. </w:t>
      </w:r>
    </w:p>
    <w:p w:rsidR="00066E22" w:rsidRPr="00C23A78" w:rsidRDefault="00066E22" w:rsidP="0072735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</w:pPr>
      <w:r w:rsidRPr="0072735D">
        <w:rPr>
          <w:rFonts w:eastAsia="Times New Roman" w:cstheme="minorHAnsi"/>
        </w:rPr>
        <w:t>Wykonawca odbierający odpady komunalne od właścicieli nieruchomości zobowiązuje się do okazania dokumentów sporządzanych na potrzeby ewidencji odpadów oraz dokumentów potwierdzających osiągnięcie określonych poziomów recyklingu, przygotowania do ponownego</w:t>
      </w:r>
      <w:r w:rsidRPr="00C23A78">
        <w:rPr>
          <w:rFonts w:eastAsia="Times New Roman"/>
        </w:rPr>
        <w:t xml:space="preserve"> użycia i odzysku innymi metodami oraz ograniczenia masy odpadów komunalnych ulegających biodegradacji przekazywanych do składowania zgodnych z </w:t>
      </w:r>
      <w:r w:rsidRPr="00C23A78">
        <w:t xml:space="preserve">Rozporządzeniem Ministra Środowiska w sprawie poziomów recyklingu, przygotowania do ponownego użycia i odzysku innymi metodami niektórych frakcji odpadów komunalnych. </w:t>
      </w:r>
    </w:p>
    <w:p w:rsidR="00066E22" w:rsidRPr="00C23A78" w:rsidRDefault="00066E22" w:rsidP="0072735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>W przypadku stwierdzenia znacznego wzrostu ilości odpadów odbieranych z nieruchomości Wykonawca niezwłocznie zgłosi ten fakt Zamawiającemu.</w:t>
      </w:r>
    </w:p>
    <w:p w:rsidR="00066E22" w:rsidRPr="00C23A78" w:rsidRDefault="00066E22" w:rsidP="0072735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 xml:space="preserve">Na wniosek zamawiającego Wykonawca przedstawi informację o ilości odpadów odbieranych ze wskazanych nieruchomości. </w:t>
      </w:r>
    </w:p>
    <w:p w:rsidR="00066E22" w:rsidRPr="00C23A78" w:rsidRDefault="00066E22" w:rsidP="00066E22">
      <w:pPr>
        <w:jc w:val="center"/>
        <w:rPr>
          <w:b/>
        </w:rPr>
      </w:pP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5</w:t>
      </w: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rPr>
          <w:rFonts w:eastAsia="Times New Roman" w:cs="Arial"/>
        </w:rPr>
        <w:t xml:space="preserve">Po podpisaniu umowy niezwłocznie przed rozpoczęciem realizacji zamówienia, Zamawiający dostarczy Wykonawcy szczegółowy </w:t>
      </w:r>
      <w:r w:rsidRPr="0072735D">
        <w:rPr>
          <w:rFonts w:eastAsia="Times New Roman" w:cs="Arial"/>
          <w:bCs/>
        </w:rPr>
        <w:t xml:space="preserve">wykaz adresowy 15 </w:t>
      </w:r>
      <w:r w:rsidRPr="0072735D">
        <w:rPr>
          <w:rFonts w:eastAsia="Times New Roman" w:cs="Arial"/>
        </w:rPr>
        <w:t xml:space="preserve">ogólnodostępnych punktów zbiorczych odbioru odpadów komunalnych objętych umową odbioru odpadów. 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t xml:space="preserve">Po podpisaniu umowy niezwłocznie przed rozpoczęciem zamówienia, Zamawiający dostarczy Wykonawcy szczegółowy wykaz adresów </w:t>
      </w:r>
      <w:r w:rsidRPr="0072735D">
        <w:rPr>
          <w:color w:val="000000"/>
        </w:rPr>
        <w:t>domków letniskowych oraz innych nieruchomości wykorzystywanych na cele rekreacyjno-wypoczynkowe</w:t>
      </w:r>
      <w:r w:rsidRPr="0072735D">
        <w:t xml:space="preserve"> objętych umową odbioru odpadów oraz wykaz </w:t>
      </w:r>
      <w:r w:rsidRPr="0072735D">
        <w:rPr>
          <w:rFonts w:eastAsia="Times New Roman" w:cs="Arial"/>
          <w:lang w:eastAsia="zh-CN"/>
        </w:rPr>
        <w:t>ogólnodostępnych punktów zbiorczych odbioru odpadów komunalnych wyznaczonych do odbioru odpadów na terenach rekreacyjno-wypoczynkowych</w:t>
      </w:r>
      <w:r w:rsidRPr="0072735D">
        <w:t>.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lastRenderedPageBreak/>
        <w:t xml:space="preserve">Zamawiający zastrzega sobie prawo do prowadzenia kontroli sposobu wykonywania przez Wykonawcę przedmiotu zamówienia. 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t>Zamawiający zobowiązuje się do współpracy i uzgodnień podczas wykonywania przez Wykonawcę Harmonogramu odbioru odpadów komunalnych na terenie Gminy Chodecz.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t>Zamawiający zobowiązuje się do informowania wspólnie z Wykonawcą o zasadach i terminach odbierania poszczególnych rodzajów odpadów. W tym celu Wykonawca będzie sporządzać harmonogramy odbioru, które Zamawiający będzie po akceptacji publikował na stronie internetowej</w:t>
      </w:r>
      <w:r w:rsidRPr="0072735D">
        <w:rPr>
          <w:color w:val="000000"/>
        </w:rPr>
        <w:t xml:space="preserve"> </w:t>
      </w:r>
      <w:hyperlink r:id="rId7" w:history="1">
        <w:r w:rsidRPr="0072735D">
          <w:rPr>
            <w:rStyle w:val="Hipercze"/>
          </w:rPr>
          <w:t>www.chodecz.pl</w:t>
        </w:r>
      </w:hyperlink>
      <w:r w:rsidRPr="0072735D">
        <w:rPr>
          <w:rStyle w:val="Hipercze"/>
          <w:color w:val="000000"/>
        </w:rPr>
        <w:t xml:space="preserve"> </w:t>
      </w:r>
      <w:r w:rsidRPr="0072735D">
        <w:t>.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t>Zamawiający zobowiązuje się do terminowego wypłacania wynagrodzenia Wykonawcy.</w:t>
      </w:r>
    </w:p>
    <w:p w:rsidR="00066E22" w:rsidRPr="0072735D" w:rsidRDefault="00066E22" w:rsidP="00066E22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</w:pPr>
      <w:r w:rsidRPr="0072735D">
        <w:t>Zamawiający zobowiązuje się do informowania Wykonawcy o ewentualnych zmianach mających wpływ na warunki świadczenia usług.</w:t>
      </w:r>
    </w:p>
    <w:p w:rsidR="00066E22" w:rsidRPr="00066E22" w:rsidRDefault="00066E22" w:rsidP="00066E2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66E22" w:rsidRDefault="00066E22" w:rsidP="00066E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066E22">
        <w:rPr>
          <w:rFonts w:asciiTheme="minorHAnsi" w:hAnsiTheme="minorHAnsi" w:cstheme="minorHAnsi"/>
          <w:color w:val="000000"/>
          <w:sz w:val="22"/>
          <w:szCs w:val="22"/>
        </w:rPr>
        <w:t xml:space="preserve">Lidia </w:t>
      </w:r>
      <w:proofErr w:type="spellStart"/>
      <w:r w:rsidR="00066E22">
        <w:rPr>
          <w:rFonts w:asciiTheme="minorHAnsi" w:hAnsiTheme="minorHAnsi" w:cstheme="minorHAnsi"/>
          <w:color w:val="000000"/>
          <w:sz w:val="22"/>
          <w:szCs w:val="22"/>
        </w:rPr>
        <w:t>Chodorek</w:t>
      </w:r>
      <w:proofErr w:type="spellEnd"/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r w:rsidR="00066E22">
        <w:rPr>
          <w:rFonts w:asciiTheme="minorHAnsi" w:hAnsiTheme="minorHAnsi" w:cstheme="minorHAnsi"/>
          <w:color w:val="000000"/>
          <w:sz w:val="22"/>
          <w:szCs w:val="22"/>
        </w:rPr>
        <w:t>54 2848 070 wew. 27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8" w:history="1">
        <w:r w:rsidR="00066E22" w:rsidRPr="00690FD2">
          <w:rPr>
            <w:rStyle w:val="Hipercze"/>
            <w:rFonts w:asciiTheme="minorHAnsi" w:hAnsiTheme="minorHAnsi" w:cstheme="minorHAnsi"/>
            <w:sz w:val="22"/>
            <w:szCs w:val="22"/>
          </w:rPr>
          <w:t>go@chodecz.pl</w:t>
        </w:r>
      </w:hyperlink>
      <w:r w:rsidR="00066E22">
        <w:rPr>
          <w:rStyle w:val="Hipercze"/>
          <w:rFonts w:asciiTheme="minorHAnsi" w:hAnsiTheme="minorHAnsi" w:cstheme="minorHAnsi"/>
          <w:sz w:val="22"/>
          <w:szCs w:val="22"/>
        </w:rPr>
        <w:t xml:space="preserve"> .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Wartość umowy</w:t>
      </w:r>
    </w:p>
    <w:p w:rsidR="0072735D" w:rsidRPr="000939F4" w:rsidRDefault="0072735D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>Miesięczne wynagrodzenie Wykonawcy (w okresie obowiązywania niniejszej umowy) będzie stanowiło iloczyn odebranych i zagospodarowanych odpadów komunalnych wyrażonych w Mg i ceny podanej w ofercie Wykonawcy tj. …………</w:t>
      </w:r>
      <w:r>
        <w:rPr>
          <w:rFonts w:cs="Arial"/>
          <w:color w:val="000000"/>
        </w:rPr>
        <w:t>………………………</w:t>
      </w:r>
      <w:r w:rsidRPr="000939F4">
        <w:rPr>
          <w:rFonts w:cs="Arial"/>
          <w:color w:val="000000"/>
        </w:rPr>
        <w:t xml:space="preserve">…. </w:t>
      </w:r>
    </w:p>
    <w:p w:rsidR="0072735D" w:rsidRPr="000939F4" w:rsidRDefault="0072735D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Podstawę zapłaty wynagrodzenia miesięcznego stanowić będą faktury VAT wystawione za wykonane usługi objęte przedmiotem umowy z załączeniem dokumentów potwierdzających ich wykonanie, tj.: kwity wagowe, raporty miesięczne, karty przekazania odpadów. </w:t>
      </w:r>
    </w:p>
    <w:p w:rsidR="0072735D" w:rsidRDefault="0072735D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>Wynagrodzenie płatne będzie w terminie do ………………. dni od daty otrzymania faktury przez Zamawiającego przelewem na rachunek bankowy Wykonawcy wskazany na fakturze VAT.</w:t>
      </w:r>
    </w:p>
    <w:p w:rsidR="0072735D" w:rsidRPr="0072735D" w:rsidRDefault="0072735D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t>Za dzień zapłaty uważa się dzień obciążenia rachunku Zamawiającego.</w:t>
      </w:r>
    </w:p>
    <w:p w:rsidR="0072735D" w:rsidRPr="0072735D" w:rsidRDefault="00B1060C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72735D" w:rsidRPr="0072735D" w:rsidRDefault="00B1060C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72735D" w:rsidRPr="0072735D" w:rsidRDefault="00B1060C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72735D" w:rsidRPr="0072735D" w:rsidRDefault="00B1060C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72735D" w:rsidRDefault="00B1060C" w:rsidP="007273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72735D">
        <w:rPr>
          <w:rFonts w:eastAsia="Calibri" w:cstheme="minorHAnsi"/>
          <w:color w:val="00000A"/>
        </w:rPr>
        <w:t>Urząd Miasta i Gminy Chodecz, ul. Kaliska 2, 87-8630 Chodecz</w:t>
      </w:r>
    </w:p>
    <w:p w:rsidR="00B1060C" w:rsidRPr="0072735D" w:rsidRDefault="00B1060C" w:rsidP="0072735D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72735D">
        <w:rPr>
          <w:rFonts w:cstheme="minorHAnsi"/>
        </w:rPr>
        <w:t xml:space="preserve">Zakazuje się przelewu wierzytelności i przejęcia długu z tytułu niniejszej umowy. </w:t>
      </w: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:rsidR="0072735D" w:rsidRPr="0072735D" w:rsidRDefault="0072735D" w:rsidP="0072735D">
      <w:pPr>
        <w:pStyle w:val="Akapitzlist1"/>
        <w:numPr>
          <w:ilvl w:val="0"/>
          <w:numId w:val="48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Strony ustalają, że wiążąca ich formą odszkodowania będą kary umowne.    </w:t>
      </w:r>
    </w:p>
    <w:p w:rsidR="0072735D" w:rsidRPr="0072735D" w:rsidRDefault="0072735D" w:rsidP="0072735D">
      <w:pPr>
        <w:pStyle w:val="Akapitzlist1"/>
        <w:numPr>
          <w:ilvl w:val="0"/>
          <w:numId w:val="48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Wykonawca zapłaci Zamawiającemu kary umowne w następujących przypadkach i w następującej wysokości:</w:t>
      </w:r>
    </w:p>
    <w:p w:rsidR="0072735D" w:rsidRPr="0072735D" w:rsidRDefault="0072735D" w:rsidP="0072735D">
      <w:pPr>
        <w:pStyle w:val="Akapitzlist1"/>
        <w:numPr>
          <w:ilvl w:val="0"/>
          <w:numId w:val="49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lastRenderedPageBreak/>
        <w:t xml:space="preserve">za opóźnienie w wykonaniu przedmiotu umowy, polegającą na nie odebraniu odpadów komunalnych w terminie ustalonym w harmonogramie w wysokości 0,2% wynagrodzenia umownego, o którym mowa w </w:t>
      </w:r>
      <w:r w:rsidRPr="0072735D">
        <w:rPr>
          <w:rFonts w:asciiTheme="minorHAnsi" w:eastAsia="TrebuchetMS" w:hAnsiTheme="minorHAnsi"/>
          <w:color w:val="000000"/>
          <w:sz w:val="22"/>
          <w:szCs w:val="22"/>
        </w:rPr>
        <w:t xml:space="preserve">§ 9 ust. 1 </w:t>
      </w:r>
      <w:r w:rsidRPr="0072735D">
        <w:rPr>
          <w:rFonts w:asciiTheme="minorHAnsi" w:eastAsia="TrebuchetMS" w:hAnsiTheme="minorHAnsi"/>
          <w:color w:val="FF0000"/>
          <w:sz w:val="22"/>
          <w:szCs w:val="22"/>
        </w:rPr>
        <w:t xml:space="preserve"> </w:t>
      </w:r>
      <w:r w:rsidRPr="0072735D">
        <w:rPr>
          <w:rFonts w:asciiTheme="minorHAnsi" w:eastAsia="TrebuchetMS" w:hAnsiTheme="minorHAnsi"/>
          <w:sz w:val="22"/>
          <w:szCs w:val="22"/>
        </w:rPr>
        <w:t>umowy za każdy dzień opóźnienia,</w:t>
      </w:r>
    </w:p>
    <w:p w:rsidR="0072735D" w:rsidRPr="0072735D" w:rsidRDefault="0072735D" w:rsidP="0072735D">
      <w:pPr>
        <w:pStyle w:val="Akapitzlist1"/>
        <w:numPr>
          <w:ilvl w:val="0"/>
          <w:numId w:val="49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odstąpienie od umowy przez obie lub jedną ze stron wskutek okoliczności, za które odpowiada Wykonawca – w wysokości 10% łącznego </w:t>
      </w:r>
      <w:r w:rsidRPr="0072735D">
        <w:rPr>
          <w:rFonts w:asciiTheme="minorHAnsi" w:eastAsia="TrebuchetMS" w:hAnsiTheme="minorHAnsi"/>
          <w:color w:val="000000"/>
          <w:sz w:val="22"/>
          <w:szCs w:val="22"/>
        </w:rPr>
        <w:t>wynagrodzenia za cały okres obowiązywania umowy</w:t>
      </w:r>
      <w:r w:rsidRPr="0072735D">
        <w:rPr>
          <w:rFonts w:asciiTheme="minorHAnsi" w:eastAsia="TrebuchetMS" w:hAnsiTheme="minorHAnsi"/>
          <w:sz w:val="22"/>
          <w:szCs w:val="22"/>
        </w:rPr>
        <w:t xml:space="preserve">, </w:t>
      </w:r>
    </w:p>
    <w:p w:rsidR="0072735D" w:rsidRPr="0072735D" w:rsidRDefault="0072735D" w:rsidP="0072735D">
      <w:pPr>
        <w:pStyle w:val="Akapitzlist1"/>
        <w:numPr>
          <w:ilvl w:val="0"/>
          <w:numId w:val="49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nieosiągnięcie </w:t>
      </w:r>
      <w:r w:rsidRPr="0072735D">
        <w:rPr>
          <w:rFonts w:asciiTheme="minorHAnsi" w:eastAsia="Times New Roman" w:hAnsiTheme="minorHAnsi"/>
          <w:sz w:val="22"/>
          <w:szCs w:val="22"/>
        </w:rPr>
        <w:t xml:space="preserve">określonych poziomów recyklingu, przygotowania do ponownego użycia i odzysku innymi metodami oraz ograniczenia masy odpadów komunalnych ulegających biodegradacji przekazywanych do składowania -  w wysokości odpowiadającej karze jaka mogłaby być nałożona na gminę na podstawie art. 9z ust. 2 i ust. 3 ustawy </w:t>
      </w:r>
      <w:r w:rsidRPr="0072735D">
        <w:rPr>
          <w:rFonts w:asciiTheme="minorHAnsi" w:hAnsiTheme="minorHAnsi"/>
          <w:sz w:val="22"/>
          <w:szCs w:val="22"/>
        </w:rPr>
        <w:t>o utrzymaniu czystości i porządku w gminach.</w:t>
      </w:r>
    </w:p>
    <w:p w:rsidR="0072735D" w:rsidRPr="0072735D" w:rsidRDefault="0072735D" w:rsidP="0072735D">
      <w:pPr>
        <w:pStyle w:val="Akapitzlist1"/>
        <w:numPr>
          <w:ilvl w:val="0"/>
          <w:numId w:val="48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Zamawiający zapłaci Wykonawcy karę umowną w przypadku odstąpienia od umowy przez obie lub jedna ze stron wskutek okoliczności, za które odpowiada Zamawiający - w wysokości 10 % łącznego wynagrodzenia ca cały okres obowiązywania umowy, </w:t>
      </w:r>
    </w:p>
    <w:p w:rsidR="0072735D" w:rsidRPr="0072735D" w:rsidRDefault="0072735D" w:rsidP="0072735D">
      <w:pPr>
        <w:pStyle w:val="Akapitzlist1"/>
        <w:numPr>
          <w:ilvl w:val="0"/>
          <w:numId w:val="48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Niezależnie od kar umownych strony mogą dochodzić odszkodowania uzupełniającego na zasadach ogólnych w przypadku, gdy szkoda przekracza wysokość kar umownych.</w:t>
      </w:r>
    </w:p>
    <w:p w:rsidR="0072735D" w:rsidRPr="0072735D" w:rsidRDefault="0072735D" w:rsidP="0072735D">
      <w:pPr>
        <w:pStyle w:val="Akapitzlist1"/>
        <w:numPr>
          <w:ilvl w:val="0"/>
          <w:numId w:val="48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9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72735D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72735D" w:rsidRDefault="00633946" w:rsidP="0072735D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72735D">
        <w:rPr>
          <w:rFonts w:cstheme="minorHAnsi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72735D">
      <w:pPr>
        <w:widowControl w:val="0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10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E0B48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Administratorem zbieranych i przetwarzanych danych osobowych jest  Urząd Miasta i Gminy Chodecz reprezentowany przez Burmistrza  </w:t>
      </w:r>
      <w:r w:rsidR="0072735D">
        <w:rPr>
          <w:rFonts w:cstheme="minorHAnsi"/>
        </w:rPr>
        <w:t>Chodcza</w:t>
      </w:r>
      <w:r w:rsidRPr="00B36399">
        <w:rPr>
          <w:rFonts w:cstheme="minorHAnsi"/>
        </w:rPr>
        <w:t xml:space="preserve">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9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Jednocześnie Zamawiający przypomina o ciążącym na Pani/Panu obowiązku informacyjnym wynikającym  z art. 14 RODO względem osób fizycznych, których dane przekazane zostały Zamawiającemu w związku z prowadzonym postępowaniem i które Zamawiający pośrednio pozyska </w:t>
      </w:r>
      <w:r w:rsidRPr="00B36399">
        <w:rPr>
          <w:rFonts w:cstheme="minorHAnsi"/>
        </w:rPr>
        <w:lastRenderedPageBreak/>
        <w:t>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E0B48">
        <w:rPr>
          <w:rFonts w:asciiTheme="minorHAnsi" w:hAnsiTheme="minorHAnsi" w:cstheme="minorHAnsi"/>
          <w:b/>
          <w:bCs/>
          <w:sz w:val="22"/>
          <w:szCs w:val="22"/>
        </w:rPr>
        <w:t>12</w:t>
      </w:r>
      <w:bookmarkStart w:id="2" w:name="_GoBack"/>
      <w:bookmarkEnd w:id="2"/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10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6B" w:rsidRDefault="00A9386B">
      <w:r>
        <w:separator/>
      </w:r>
    </w:p>
  </w:endnote>
  <w:endnote w:type="continuationSeparator" w:id="0">
    <w:p w:rsidR="00A9386B" w:rsidRDefault="00A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6B" w:rsidRDefault="00A9386B">
      <w:r>
        <w:separator/>
      </w:r>
    </w:p>
  </w:footnote>
  <w:footnote w:type="continuationSeparator" w:id="0">
    <w:p w:rsidR="00A9386B" w:rsidRDefault="00A9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9C31C8F"/>
    <w:multiLevelType w:val="multilevel"/>
    <w:tmpl w:val="9E84C1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8"/>
        <w:szCs w:val="18"/>
      </w:rPr>
    </w:lvl>
  </w:abstractNum>
  <w:abstractNum w:abstractNumId="4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20F24"/>
    <w:multiLevelType w:val="hybridMultilevel"/>
    <w:tmpl w:val="F2961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A33AFC"/>
    <w:multiLevelType w:val="multilevel"/>
    <w:tmpl w:val="2CD093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731F"/>
    <w:multiLevelType w:val="multilevel"/>
    <w:tmpl w:val="936AC6F0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8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96B7E53"/>
    <w:multiLevelType w:val="hybridMultilevel"/>
    <w:tmpl w:val="1084F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C18C3"/>
    <w:multiLevelType w:val="multilevel"/>
    <w:tmpl w:val="6D64FF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8"/>
        <w:szCs w:val="18"/>
      </w:rPr>
    </w:lvl>
  </w:abstractNum>
  <w:abstractNum w:abstractNumId="26" w15:restartNumberingAfterBreak="0">
    <w:nsid w:val="44482F2F"/>
    <w:multiLevelType w:val="hybridMultilevel"/>
    <w:tmpl w:val="71B83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B691E"/>
    <w:multiLevelType w:val="hybridMultilevel"/>
    <w:tmpl w:val="6F382540"/>
    <w:lvl w:ilvl="0" w:tplc="4EB4B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55A22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99160F"/>
    <w:multiLevelType w:val="hybridMultilevel"/>
    <w:tmpl w:val="D520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D41427"/>
    <w:multiLevelType w:val="hybridMultilevel"/>
    <w:tmpl w:val="BA82A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76B1A"/>
    <w:multiLevelType w:val="hybridMultilevel"/>
    <w:tmpl w:val="3C54AEB0"/>
    <w:lvl w:ilvl="0" w:tplc="3AD0A1F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3F7161"/>
    <w:multiLevelType w:val="multilevel"/>
    <w:tmpl w:val="5DD050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FB1BD3"/>
    <w:multiLevelType w:val="multilevel"/>
    <w:tmpl w:val="CF20BE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D6EBC"/>
    <w:multiLevelType w:val="multilevel"/>
    <w:tmpl w:val="3558E1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z w:val="18"/>
        <w:szCs w:val="18"/>
      </w:rPr>
    </w:lvl>
  </w:abstractNum>
  <w:abstractNum w:abstractNumId="43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E8F370F"/>
    <w:multiLevelType w:val="hybridMultilevel"/>
    <w:tmpl w:val="FC0C11A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5C54E0D"/>
    <w:multiLevelType w:val="multilevel"/>
    <w:tmpl w:val="F018475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E11668"/>
    <w:multiLevelType w:val="hybridMultilevel"/>
    <w:tmpl w:val="00C49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3106AE"/>
    <w:multiLevelType w:val="multilevel"/>
    <w:tmpl w:val="56125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8"/>
  </w:num>
  <w:num w:numId="4">
    <w:abstractNumId w:val="12"/>
  </w:num>
  <w:num w:numId="5">
    <w:abstractNumId w:val="32"/>
  </w:num>
  <w:num w:numId="6">
    <w:abstractNumId w:val="10"/>
  </w:num>
  <w:num w:numId="7">
    <w:abstractNumId w:val="20"/>
  </w:num>
  <w:num w:numId="8">
    <w:abstractNumId w:val="31"/>
  </w:num>
  <w:num w:numId="9">
    <w:abstractNumId w:val="43"/>
  </w:num>
  <w:num w:numId="10">
    <w:abstractNumId w:val="18"/>
  </w:num>
  <w:num w:numId="11">
    <w:abstractNumId w:val="28"/>
  </w:num>
  <w:num w:numId="12">
    <w:abstractNumId w:val="13"/>
  </w:num>
  <w:num w:numId="13">
    <w:abstractNumId w:val="29"/>
  </w:num>
  <w:num w:numId="14">
    <w:abstractNumId w:val="40"/>
  </w:num>
  <w:num w:numId="15">
    <w:abstractNumId w:val="27"/>
  </w:num>
  <w:num w:numId="16">
    <w:abstractNumId w:val="11"/>
  </w:num>
  <w:num w:numId="17">
    <w:abstractNumId w:val="47"/>
  </w:num>
  <w:num w:numId="18">
    <w:abstractNumId w:val="15"/>
  </w:num>
  <w:num w:numId="19">
    <w:abstractNumId w:val="4"/>
  </w:num>
  <w:num w:numId="20">
    <w:abstractNumId w:val="34"/>
  </w:num>
  <w:num w:numId="21">
    <w:abstractNumId w:val="45"/>
  </w:num>
  <w:num w:numId="22">
    <w:abstractNumId w:val="39"/>
  </w:num>
  <w:num w:numId="23">
    <w:abstractNumId w:val="21"/>
  </w:num>
  <w:num w:numId="24">
    <w:abstractNumId w:val="7"/>
  </w:num>
  <w:num w:numId="25">
    <w:abstractNumId w:val="2"/>
  </w:num>
  <w:num w:numId="26">
    <w:abstractNumId w:val="14"/>
  </w:num>
  <w:num w:numId="27">
    <w:abstractNumId w:val="19"/>
  </w:num>
  <w:num w:numId="28">
    <w:abstractNumId w:val="23"/>
  </w:num>
  <w:num w:numId="29">
    <w:abstractNumId w:val="9"/>
  </w:num>
  <w:num w:numId="30">
    <w:abstractNumId w:val="24"/>
  </w:num>
  <w:num w:numId="31">
    <w:abstractNumId w:val="41"/>
  </w:num>
  <w:num w:numId="32">
    <w:abstractNumId w:val="0"/>
  </w:num>
  <w:num w:numId="33">
    <w:abstractNumId w:val="46"/>
  </w:num>
  <w:num w:numId="34">
    <w:abstractNumId w:val="25"/>
  </w:num>
  <w:num w:numId="35">
    <w:abstractNumId w:val="26"/>
  </w:num>
  <w:num w:numId="36">
    <w:abstractNumId w:val="17"/>
  </w:num>
  <w:num w:numId="37">
    <w:abstractNumId w:val="17"/>
    <w:lvlOverride w:ilvl="0">
      <w:startOverride w:val="1"/>
    </w:lvlOverride>
  </w:num>
  <w:num w:numId="38">
    <w:abstractNumId w:val="37"/>
  </w:num>
  <w:num w:numId="39">
    <w:abstractNumId w:val="44"/>
  </w:num>
  <w:num w:numId="40">
    <w:abstractNumId w:val="3"/>
  </w:num>
  <w:num w:numId="41">
    <w:abstractNumId w:val="42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22"/>
  </w:num>
  <w:num w:numId="47">
    <w:abstractNumId w:val="33"/>
  </w:num>
  <w:num w:numId="48">
    <w:abstractNumId w:val="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628C2"/>
    <w:rsid w:val="00066E22"/>
    <w:rsid w:val="000E0B48"/>
    <w:rsid w:val="000E6E94"/>
    <w:rsid w:val="00174A8B"/>
    <w:rsid w:val="0021612C"/>
    <w:rsid w:val="00283825"/>
    <w:rsid w:val="003E6C34"/>
    <w:rsid w:val="00403BCF"/>
    <w:rsid w:val="00455899"/>
    <w:rsid w:val="004C0381"/>
    <w:rsid w:val="004C1D3C"/>
    <w:rsid w:val="004C63BD"/>
    <w:rsid w:val="005507C4"/>
    <w:rsid w:val="00584685"/>
    <w:rsid w:val="005D4F74"/>
    <w:rsid w:val="00633946"/>
    <w:rsid w:val="0072735D"/>
    <w:rsid w:val="00794D15"/>
    <w:rsid w:val="007E3EFE"/>
    <w:rsid w:val="007E4886"/>
    <w:rsid w:val="007F295C"/>
    <w:rsid w:val="00864874"/>
    <w:rsid w:val="009560FF"/>
    <w:rsid w:val="00972D1C"/>
    <w:rsid w:val="009B7665"/>
    <w:rsid w:val="00A90421"/>
    <w:rsid w:val="00A9386B"/>
    <w:rsid w:val="00AC1199"/>
    <w:rsid w:val="00B1060C"/>
    <w:rsid w:val="00B36399"/>
    <w:rsid w:val="00C11E2A"/>
    <w:rsid w:val="00C455D4"/>
    <w:rsid w:val="00E01322"/>
    <w:rsid w:val="00E83559"/>
    <w:rsid w:val="00EE2236"/>
    <w:rsid w:val="00F12AFF"/>
    <w:rsid w:val="00F66CB7"/>
    <w:rsid w:val="00FE01C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D62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066E22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-4"/>
      <w:kern w:val="24"/>
      <w:sz w:val="32"/>
      <w:szCs w:val="32"/>
      <w:lang w:eastAsia="pl-PL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6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Normalny1">
    <w:name w:val="Normalny1"/>
    <w:qFormat/>
    <w:rsid w:val="00066E22"/>
    <w:pPr>
      <w:widowControl w:val="0"/>
      <w:suppressAutoHyphens/>
      <w:autoSpaceDN w:val="0"/>
      <w:spacing w:after="160"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numbering" w:customStyle="1" w:styleId="WWNum38">
    <w:name w:val="WWNum38"/>
    <w:basedOn w:val="Bezlisty"/>
    <w:rsid w:val="00066E22"/>
    <w:pPr>
      <w:numPr>
        <w:numId w:val="36"/>
      </w:numPr>
    </w:pPr>
  </w:style>
  <w:style w:type="character" w:customStyle="1" w:styleId="Nagwek1Znak1">
    <w:name w:val="Nagłówek 1 Znak1"/>
    <w:basedOn w:val="Domylnaczcionkaakapitu"/>
    <w:uiPriority w:val="9"/>
    <w:rsid w:val="00066E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Standard">
    <w:name w:val="Standard"/>
    <w:qFormat/>
    <w:rsid w:val="00066E22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de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ho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3791</Words>
  <Characters>22748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32</cp:revision>
  <cp:lastPrinted>2021-09-21T09:03:00Z</cp:lastPrinted>
  <dcterms:created xsi:type="dcterms:W3CDTF">2016-08-17T07:14:00Z</dcterms:created>
  <dcterms:modified xsi:type="dcterms:W3CDTF">2021-12-02T22:50:00Z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