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1027" w14:textId="77777777" w:rsidR="006F1075" w:rsidRDefault="005802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</w:t>
      </w:r>
      <w:r w:rsidRPr="0058024B">
        <w:rPr>
          <w:sz w:val="28"/>
          <w:szCs w:val="28"/>
        </w:rPr>
        <w:t>C</w:t>
      </w:r>
      <w:r>
        <w:rPr>
          <w:sz w:val="28"/>
          <w:szCs w:val="28"/>
        </w:rPr>
        <w:t>hodecz dnia 08.04.2010r</w:t>
      </w:r>
    </w:p>
    <w:p w14:paraId="78067CC2" w14:textId="77777777" w:rsidR="0058024B" w:rsidRDefault="0058024B">
      <w:pPr>
        <w:rPr>
          <w:sz w:val="28"/>
          <w:szCs w:val="28"/>
        </w:rPr>
      </w:pPr>
    </w:p>
    <w:p w14:paraId="2BED2174" w14:textId="77777777" w:rsidR="0058024B" w:rsidRDefault="0058024B">
      <w:pPr>
        <w:rPr>
          <w:sz w:val="28"/>
          <w:szCs w:val="28"/>
        </w:rPr>
      </w:pPr>
      <w:r>
        <w:rPr>
          <w:sz w:val="28"/>
          <w:szCs w:val="28"/>
        </w:rPr>
        <w:t>In-341-02/10</w:t>
      </w:r>
    </w:p>
    <w:p w14:paraId="43292619" w14:textId="77777777" w:rsidR="0058024B" w:rsidRDefault="0058024B">
      <w:pPr>
        <w:rPr>
          <w:sz w:val="28"/>
          <w:szCs w:val="28"/>
        </w:rPr>
      </w:pPr>
    </w:p>
    <w:p w14:paraId="1CA76773" w14:textId="77777777" w:rsidR="0058024B" w:rsidRDefault="0058024B">
      <w:pPr>
        <w:rPr>
          <w:sz w:val="28"/>
          <w:szCs w:val="28"/>
        </w:rPr>
      </w:pPr>
    </w:p>
    <w:p w14:paraId="5D385C80" w14:textId="77777777" w:rsidR="0058024B" w:rsidRDefault="0058024B">
      <w:pPr>
        <w:rPr>
          <w:sz w:val="28"/>
          <w:szCs w:val="28"/>
        </w:rPr>
      </w:pPr>
      <w:r>
        <w:rPr>
          <w:sz w:val="28"/>
          <w:szCs w:val="28"/>
        </w:rPr>
        <w:t xml:space="preserve">     Wyjaśnienie pytań dotyczących przetargu na budowę przydomowych oczyszczalni ścieków:</w:t>
      </w:r>
    </w:p>
    <w:p w14:paraId="56417D68" w14:textId="77777777" w:rsidR="0058024B" w:rsidRDefault="0058024B">
      <w:pPr>
        <w:rPr>
          <w:sz w:val="28"/>
          <w:szCs w:val="28"/>
        </w:rPr>
      </w:pPr>
    </w:p>
    <w:p w14:paraId="2974CFA1" w14:textId="77777777" w:rsidR="0058024B" w:rsidRDefault="0058024B">
      <w:pPr>
        <w:rPr>
          <w:sz w:val="28"/>
          <w:szCs w:val="28"/>
        </w:rPr>
      </w:pPr>
      <w:r>
        <w:rPr>
          <w:sz w:val="28"/>
          <w:szCs w:val="28"/>
        </w:rPr>
        <w:t>1.Czy uznane będą za spełniające listy referencyjne dotyczące oczyszczalni ścieków przydomowych-biologicznych zawierających również osadnik wstępny?</w:t>
      </w:r>
    </w:p>
    <w:p w14:paraId="014E2CF5" w14:textId="77777777" w:rsidR="0058024B" w:rsidRDefault="0058024B">
      <w:pPr>
        <w:rPr>
          <w:b/>
          <w:sz w:val="28"/>
          <w:szCs w:val="28"/>
          <w:u w:val="single"/>
        </w:rPr>
      </w:pPr>
      <w:r w:rsidRPr="0058024B">
        <w:rPr>
          <w:b/>
          <w:sz w:val="28"/>
          <w:szCs w:val="28"/>
          <w:u w:val="single"/>
        </w:rPr>
        <w:t xml:space="preserve"> Tak</w:t>
      </w:r>
    </w:p>
    <w:p w14:paraId="2F1F61D6" w14:textId="77777777" w:rsidR="0058024B" w:rsidRDefault="0058024B">
      <w:pPr>
        <w:rPr>
          <w:sz w:val="28"/>
          <w:szCs w:val="28"/>
        </w:rPr>
      </w:pPr>
      <w:r w:rsidRPr="0058024B">
        <w:rPr>
          <w:sz w:val="28"/>
          <w:szCs w:val="28"/>
        </w:rPr>
        <w:t>2.</w:t>
      </w:r>
      <w:r>
        <w:rPr>
          <w:sz w:val="28"/>
          <w:szCs w:val="28"/>
        </w:rPr>
        <w:t>Czy dopuszcza się osadniki monolityczne z polietylenu wykonane metodą formowania rotacyjnego?</w:t>
      </w:r>
    </w:p>
    <w:p w14:paraId="61F91660" w14:textId="77777777" w:rsidR="0058024B" w:rsidRDefault="0058024B">
      <w:pPr>
        <w:rPr>
          <w:b/>
          <w:sz w:val="28"/>
          <w:szCs w:val="28"/>
          <w:u w:val="single"/>
        </w:rPr>
      </w:pPr>
      <w:r w:rsidRPr="0058024B">
        <w:rPr>
          <w:b/>
          <w:sz w:val="28"/>
          <w:szCs w:val="28"/>
          <w:u w:val="single"/>
        </w:rPr>
        <w:t>Tak</w:t>
      </w:r>
    </w:p>
    <w:p w14:paraId="2BDC38BB" w14:textId="77777777" w:rsidR="0058024B" w:rsidRDefault="0058024B">
      <w:pPr>
        <w:rPr>
          <w:sz w:val="28"/>
          <w:szCs w:val="28"/>
        </w:rPr>
      </w:pPr>
      <w:r w:rsidRPr="0058024B">
        <w:rPr>
          <w:sz w:val="28"/>
          <w:szCs w:val="28"/>
        </w:rPr>
        <w:t>3.</w:t>
      </w:r>
      <w:r>
        <w:rPr>
          <w:sz w:val="28"/>
          <w:szCs w:val="28"/>
        </w:rPr>
        <w:t>Czy osadnik ma posiadać konstrukcję jedno, czy dwukomorową?</w:t>
      </w:r>
    </w:p>
    <w:p w14:paraId="3A79239E" w14:textId="77777777" w:rsidR="0058024B" w:rsidRDefault="0058024B">
      <w:pPr>
        <w:rPr>
          <w:b/>
          <w:sz w:val="28"/>
          <w:szCs w:val="28"/>
          <w:u w:val="single"/>
        </w:rPr>
      </w:pPr>
      <w:r w:rsidRPr="0058024B">
        <w:rPr>
          <w:b/>
          <w:sz w:val="28"/>
          <w:szCs w:val="28"/>
          <w:u w:val="single"/>
        </w:rPr>
        <w:t>Konstrukcja dwukomorowa</w:t>
      </w:r>
    </w:p>
    <w:p w14:paraId="54583B64" w14:textId="77777777" w:rsidR="0058024B" w:rsidRDefault="0058024B">
      <w:pPr>
        <w:rPr>
          <w:sz w:val="28"/>
          <w:szCs w:val="28"/>
        </w:rPr>
      </w:pPr>
      <w:r w:rsidRPr="0058024B">
        <w:rPr>
          <w:sz w:val="28"/>
          <w:szCs w:val="28"/>
        </w:rPr>
        <w:t>4.Czy w przypadku jeśli osadniki</w:t>
      </w:r>
      <w:r>
        <w:rPr>
          <w:sz w:val="28"/>
          <w:szCs w:val="28"/>
        </w:rPr>
        <w:t xml:space="preserve"> posiadają oznakowanie CE, jak również</w:t>
      </w:r>
      <w:r w:rsidR="00C716EE">
        <w:rPr>
          <w:sz w:val="28"/>
          <w:szCs w:val="28"/>
        </w:rPr>
        <w:t xml:space="preserve"> a</w:t>
      </w:r>
      <w:r>
        <w:rPr>
          <w:sz w:val="28"/>
          <w:szCs w:val="28"/>
        </w:rPr>
        <w:t>probatę techniczną IOŚ</w:t>
      </w:r>
      <w:r w:rsidR="00C716EE">
        <w:rPr>
          <w:sz w:val="28"/>
          <w:szCs w:val="28"/>
        </w:rPr>
        <w:t xml:space="preserve"> obejmującą wewnątrz zakładowy system kontroli jakości, czy musi być dodatkowo załączony certyfikat ISO 9001:2000 ?</w:t>
      </w:r>
    </w:p>
    <w:p w14:paraId="57EB40BF" w14:textId="77777777" w:rsidR="00C716EE" w:rsidRPr="00C716EE" w:rsidRDefault="00C716EE">
      <w:pPr>
        <w:rPr>
          <w:b/>
          <w:sz w:val="28"/>
          <w:szCs w:val="28"/>
          <w:u w:val="single"/>
        </w:rPr>
      </w:pPr>
      <w:r w:rsidRPr="00C716EE">
        <w:rPr>
          <w:b/>
          <w:sz w:val="28"/>
          <w:szCs w:val="28"/>
          <w:u w:val="single"/>
        </w:rPr>
        <w:t>Jedynymi wytycznymi dotyczącymi deklaracji zgodności z PN są informacje Instytutu Ochrony Środowiska w Warszawie z dnia 03.02.2010r zamieszczone na stronie internetowej Urzędu Miasta i Gminy Chodecz. Niemniej przy  niniejszym piśmie  załączamy te informacje.</w:t>
      </w:r>
    </w:p>
    <w:sectPr w:rsidR="00C716EE" w:rsidRPr="00C716EE" w:rsidSect="006F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B"/>
    <w:rsid w:val="0058024B"/>
    <w:rsid w:val="006F1075"/>
    <w:rsid w:val="008F4F77"/>
    <w:rsid w:val="00C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2010-04-08T11:23:00Z</cp:lastPrinted>
  <dcterms:created xsi:type="dcterms:W3CDTF">2010-04-08T11:28:00Z</dcterms:created>
  <dcterms:modified xsi:type="dcterms:W3CDTF">2010-04-08T11:28:00Z</dcterms:modified>
</cp:coreProperties>
</file>