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0B07A001" w14:textId="77777777" w:rsidR="000C1AF2" w:rsidRPr="00346276" w:rsidRDefault="000C1AF2" w:rsidP="000C1AF2">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w:t>
      </w:r>
      <w:r>
        <w:rPr>
          <w:rFonts w:asciiTheme="minorHAnsi" w:hAnsiTheme="minorHAnsi" w:cstheme="minorHAnsi"/>
          <w:sz w:val="22"/>
          <w:szCs w:val="22"/>
        </w:rPr>
        <w:t>z</w:t>
      </w:r>
    </w:p>
    <w:p w14:paraId="3E91F0A0" w14:textId="1EABE1FB" w:rsidR="000C1AF2" w:rsidRPr="00FB0CEB" w:rsidRDefault="000C1AF2" w:rsidP="000C1AF2">
      <w:pPr>
        <w:widowControl w:val="0"/>
        <w:autoSpaceDE w:val="0"/>
        <w:autoSpaceDN w:val="0"/>
        <w:adjustRightInd w:val="0"/>
        <w:spacing w:after="0" w:line="240" w:lineRule="auto"/>
        <w:rPr>
          <w:rFonts w:asciiTheme="minorHAnsi" w:hAnsiTheme="minorHAnsi" w:cstheme="minorHAnsi"/>
          <w:b/>
        </w:rPr>
      </w:pPr>
      <w:r w:rsidRPr="00FB0CEB">
        <w:rPr>
          <w:rFonts w:asciiTheme="minorHAnsi" w:hAnsiTheme="minorHAnsi" w:cstheme="minorHAnsi"/>
          <w:b/>
          <w:bCs/>
          <w:sz w:val="22"/>
          <w:szCs w:val="22"/>
        </w:rPr>
        <w:t xml:space="preserve">Przedmiot zamówienia: </w:t>
      </w:r>
      <w:r w:rsidR="00AE2FFD">
        <w:rPr>
          <w:rFonts w:asciiTheme="minorHAnsi" w:hAnsiTheme="minorHAnsi" w:cstheme="minorHAnsi"/>
          <w:b/>
          <w:bCs/>
          <w:sz w:val="22"/>
          <w:szCs w:val="22"/>
        </w:rPr>
        <w:t>„</w:t>
      </w:r>
      <w:r>
        <w:rPr>
          <w:rFonts w:asciiTheme="minorHAnsi" w:hAnsiTheme="minorHAnsi" w:cstheme="minorHAnsi"/>
          <w:b/>
          <w:sz w:val="22"/>
          <w:szCs w:val="22"/>
        </w:rPr>
        <w:t>Z</w:t>
      </w:r>
      <w:r w:rsidRPr="00BA63EB">
        <w:rPr>
          <w:rFonts w:asciiTheme="minorHAnsi" w:hAnsiTheme="minorHAnsi" w:cstheme="minorHAnsi"/>
          <w:b/>
          <w:bCs/>
          <w:sz w:val="22"/>
          <w:szCs w:val="22"/>
        </w:rPr>
        <w:t xml:space="preserve">akup i </w:t>
      </w:r>
      <w:r w:rsidRPr="00BA63EB">
        <w:rPr>
          <w:rFonts w:asciiTheme="minorHAnsi" w:eastAsia="SimSun" w:hAnsiTheme="minorHAnsi" w:cstheme="minorHAnsi"/>
          <w:b/>
          <w:bCs/>
          <w:sz w:val="22"/>
          <w:szCs w:val="22"/>
        </w:rPr>
        <w:t>d</w:t>
      </w:r>
      <w:r w:rsidRPr="00BA63EB">
        <w:rPr>
          <w:rFonts w:asciiTheme="minorHAnsi" w:hAnsiTheme="minorHAnsi" w:cstheme="minorHAnsi"/>
          <w:b/>
          <w:bCs/>
          <w:sz w:val="22"/>
          <w:szCs w:val="22"/>
        </w:rPr>
        <w:t>ostawa oleju opałowego dla Szkoły Podstawowej im. Tadeusza Kościuszki w Chodczu w Chodczu</w:t>
      </w:r>
      <w:r w:rsidRPr="00BA63EB">
        <w:rPr>
          <w:rFonts w:asciiTheme="minorHAnsi" w:hAnsiTheme="minorHAnsi" w:cstheme="minorHAnsi"/>
          <w:b/>
          <w:sz w:val="22"/>
          <w:szCs w:val="22"/>
        </w:rPr>
        <w:t xml:space="preserve"> w</w:t>
      </w:r>
      <w:r w:rsidRPr="00BA63EB">
        <w:rPr>
          <w:rFonts w:asciiTheme="minorHAnsi" w:hAnsiTheme="minorHAnsi" w:cstheme="minorHAnsi"/>
          <w:b/>
          <w:bCs/>
          <w:sz w:val="22"/>
          <w:szCs w:val="22"/>
        </w:rPr>
        <w:t xml:space="preserve"> ilościach 80 000 litrów </w:t>
      </w:r>
      <w:r w:rsidRPr="00BA63EB">
        <w:rPr>
          <w:rFonts w:asciiTheme="minorHAnsi" w:hAnsiTheme="minorHAnsi" w:cstheme="minorHAnsi"/>
          <w:b/>
          <w:sz w:val="22"/>
          <w:szCs w:val="22"/>
        </w:rPr>
        <w:t xml:space="preserve"> w sezonie grzewczym </w:t>
      </w:r>
      <w:r>
        <w:rPr>
          <w:rFonts w:asciiTheme="minorHAnsi" w:hAnsiTheme="minorHAnsi" w:cstheme="minorHAnsi"/>
          <w:b/>
          <w:sz w:val="22"/>
          <w:szCs w:val="22"/>
        </w:rPr>
        <w:t>2023/2024</w:t>
      </w:r>
      <w:r w:rsidRPr="00FB0CEB">
        <w:rPr>
          <w:rFonts w:asciiTheme="minorHAnsi" w:hAnsiTheme="minorHAnsi" w:cstheme="minorHAnsi"/>
          <w:b/>
          <w:sz w:val="22"/>
          <w:szCs w:val="22"/>
        </w:rPr>
        <w:t>”.</w:t>
      </w:r>
    </w:p>
    <w:p w14:paraId="7FC8EEAE" w14:textId="77777777" w:rsidR="000C1AF2" w:rsidRPr="00346276" w:rsidRDefault="000C1AF2" w:rsidP="000C1AF2">
      <w:pPr>
        <w:widowControl w:val="0"/>
        <w:autoSpaceDE w:val="0"/>
        <w:autoSpaceDN w:val="0"/>
        <w:adjustRightInd w:val="0"/>
        <w:spacing w:before="120" w:after="0"/>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5A799121" w14:textId="77777777" w:rsidR="000C1AF2" w:rsidRPr="00346276" w:rsidRDefault="000C1AF2" w:rsidP="000C1AF2">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Pr>
          <w:rFonts w:asciiTheme="minorHAnsi" w:hAnsiTheme="minorHAnsi" w:cstheme="minorHAnsi"/>
          <w:kern w:val="0"/>
          <w:sz w:val="22"/>
          <w:szCs w:val="22"/>
          <w:lang w:eastAsia="en-US"/>
        </w:rPr>
        <w:t>17.2023</w:t>
      </w:r>
    </w:p>
    <w:p w14:paraId="04C18C03" w14:textId="77777777" w:rsidR="000C1AF2" w:rsidRPr="00346276" w:rsidRDefault="000C1AF2" w:rsidP="000C1AF2">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Pr>
          <w:rFonts w:asciiTheme="minorHAnsi" w:hAnsiTheme="minorHAnsi" w:cstheme="minorHAnsi"/>
          <w:sz w:val="22"/>
          <w:szCs w:val="22"/>
        </w:rPr>
        <w:t>dostawy</w:t>
      </w:r>
      <w:r w:rsidRPr="00346276">
        <w:rPr>
          <w:rFonts w:asciiTheme="minorHAnsi" w:hAnsiTheme="minorHAnsi" w:cstheme="minorHAnsi"/>
          <w:sz w:val="22"/>
          <w:szCs w:val="22"/>
        </w:rPr>
        <w:t xml:space="preserve"> </w:t>
      </w:r>
    </w:p>
    <w:p w14:paraId="10250D95" w14:textId="77777777" w:rsidR="000C1AF2" w:rsidRPr="00EF4CED" w:rsidRDefault="000C1AF2" w:rsidP="000C1AF2">
      <w:pPr>
        <w:pStyle w:val="Standard"/>
        <w:jc w:val="both"/>
        <w:rPr>
          <w:rFonts w:eastAsia="Calibri" w:cs="Calibri"/>
          <w:color w:val="auto"/>
          <w:lang w:val="pl-PL"/>
        </w:rPr>
      </w:pPr>
    </w:p>
    <w:p w14:paraId="7886D355" w14:textId="77777777" w:rsidR="000C1AF2" w:rsidRDefault="000C1AF2" w:rsidP="000C1AF2">
      <w:pPr>
        <w:pStyle w:val="Standard"/>
        <w:jc w:val="both"/>
        <w:rPr>
          <w:rFonts w:eastAsia="Calibri" w:cs="Calibri"/>
          <w:color w:val="auto"/>
          <w:sz w:val="26"/>
          <w:szCs w:val="26"/>
          <w:lang w:val="pl-PL"/>
        </w:rPr>
      </w:pPr>
    </w:p>
    <w:p w14:paraId="67666BA6" w14:textId="77777777" w:rsidR="000C1AF2" w:rsidRDefault="000C1AF2" w:rsidP="000C1AF2">
      <w:pPr>
        <w:pStyle w:val="Standard"/>
        <w:jc w:val="both"/>
        <w:rPr>
          <w:rFonts w:eastAsia="Calibri" w:cs="Calibri"/>
          <w:color w:val="auto"/>
          <w:sz w:val="26"/>
          <w:szCs w:val="26"/>
          <w:lang w:val="pl-PL"/>
        </w:rPr>
      </w:pPr>
    </w:p>
    <w:p w14:paraId="5F3C9E3D" w14:textId="77777777" w:rsidR="000C1AF2" w:rsidRPr="00523032" w:rsidRDefault="000C1AF2" w:rsidP="000C1AF2">
      <w:pPr>
        <w:suppressAutoHyphens/>
        <w:jc w:val="both"/>
        <w:rPr>
          <w:rFonts w:cs="Arial"/>
          <w:lang w:eastAsia="zh-CN"/>
        </w:rPr>
      </w:pPr>
    </w:p>
    <w:p w14:paraId="338F6952" w14:textId="77777777" w:rsidR="000C1AF2" w:rsidRPr="00346276" w:rsidRDefault="000C1AF2" w:rsidP="000C1AF2">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1FC83C7E" w14:textId="77777777" w:rsidR="000C1AF2" w:rsidRPr="00346276" w:rsidRDefault="000C1AF2" w:rsidP="000C1AF2">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5FC56F1C" w14:textId="77777777" w:rsidR="000C1AF2" w:rsidRDefault="000C1AF2" w:rsidP="000C1AF2">
      <w:pPr>
        <w:suppressAutoHyphens/>
        <w:jc w:val="both"/>
        <w:rPr>
          <w:rFonts w:cs="Arial"/>
          <w:lang w:eastAsia="zh-CN"/>
        </w:rPr>
      </w:pPr>
      <w:r w:rsidRPr="00523032">
        <w:rPr>
          <w:rFonts w:cs="Arial"/>
          <w:lang w:eastAsia="zh-CN"/>
        </w:rPr>
        <w:t xml:space="preserve">     </w:t>
      </w:r>
    </w:p>
    <w:p w14:paraId="34446DFF" w14:textId="77777777" w:rsidR="000C1AF2" w:rsidRDefault="000C1AF2" w:rsidP="000C1AF2">
      <w:pPr>
        <w:pStyle w:val="Standard"/>
        <w:spacing w:line="360" w:lineRule="auto"/>
        <w:jc w:val="center"/>
        <w:rPr>
          <w:rFonts w:eastAsia="Calibri" w:cs="Calibri"/>
          <w:b/>
          <w:bCs/>
          <w:color w:val="auto"/>
          <w:lang w:val="pl-PL"/>
        </w:rPr>
      </w:pPr>
    </w:p>
    <w:p w14:paraId="403CADE6" w14:textId="77777777" w:rsidR="000C1AF2" w:rsidRDefault="000C1AF2" w:rsidP="000C1AF2">
      <w:pPr>
        <w:pStyle w:val="Standard"/>
        <w:spacing w:line="360" w:lineRule="auto"/>
        <w:jc w:val="center"/>
        <w:rPr>
          <w:rFonts w:eastAsia="Calibri" w:cs="Calibri"/>
          <w:b/>
          <w:bCs/>
          <w:color w:val="auto"/>
          <w:lang w:val="pl-PL"/>
        </w:rPr>
      </w:pPr>
    </w:p>
    <w:p w14:paraId="72E8175C" w14:textId="77777777" w:rsidR="000C1AF2" w:rsidRDefault="000C1AF2" w:rsidP="000C1AF2">
      <w:pPr>
        <w:pStyle w:val="Standard"/>
        <w:spacing w:line="360" w:lineRule="auto"/>
        <w:jc w:val="center"/>
        <w:rPr>
          <w:rFonts w:eastAsia="Calibri" w:cs="Calibri"/>
          <w:b/>
          <w:bCs/>
          <w:color w:val="auto"/>
          <w:lang w:val="pl-PL"/>
        </w:rPr>
      </w:pPr>
    </w:p>
    <w:p w14:paraId="4CD51736" w14:textId="77777777" w:rsidR="000C1AF2" w:rsidRDefault="000C1AF2" w:rsidP="000C1AF2">
      <w:pPr>
        <w:pStyle w:val="Standard"/>
        <w:spacing w:line="360" w:lineRule="auto"/>
        <w:jc w:val="center"/>
        <w:rPr>
          <w:rFonts w:eastAsia="Calibri" w:cs="Calibri"/>
          <w:b/>
          <w:bCs/>
          <w:color w:val="auto"/>
          <w:lang w:val="pl-PL"/>
        </w:rPr>
      </w:pPr>
    </w:p>
    <w:p w14:paraId="25E856F3" w14:textId="77777777" w:rsidR="000C1AF2" w:rsidRDefault="000C1AF2" w:rsidP="000C1AF2">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Pr>
          <w:rFonts w:eastAsia="Calibri" w:cs="Calibri"/>
          <w:b/>
          <w:bCs/>
          <w:color w:val="auto"/>
          <w:lang w:val="pl-PL"/>
        </w:rPr>
        <w:t>10.08.2023</w:t>
      </w:r>
      <w:r w:rsidRPr="00EA68AF">
        <w:rPr>
          <w:rFonts w:eastAsia="Calibri" w:cs="Calibri"/>
          <w:b/>
          <w:bCs/>
          <w:color w:val="auto"/>
          <w:lang w:val="pl-PL"/>
        </w:rPr>
        <w:t xml:space="preserve"> r.</w:t>
      </w:r>
    </w:p>
    <w:p w14:paraId="72C40D6D" w14:textId="77777777" w:rsidR="00792144" w:rsidRDefault="00792144" w:rsidP="00185257">
      <w:pPr>
        <w:pStyle w:val="Standard"/>
        <w:spacing w:line="360" w:lineRule="auto"/>
        <w:jc w:val="center"/>
        <w:rPr>
          <w:rFonts w:eastAsia="Calibri" w:cs="Calibri"/>
          <w:b/>
          <w:bCs/>
          <w:color w:val="auto"/>
          <w:lang w:val="pl-PL"/>
        </w:rPr>
      </w:pP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7B3BB32A"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Pr="0051070A">
        <w:rPr>
          <w:rFonts w:asciiTheme="minorHAnsi" w:hAnsiTheme="minorHAnsi" w:cstheme="minorHAnsi"/>
          <w:b/>
          <w:color w:val="000000"/>
          <w:kern w:val="0"/>
          <w:sz w:val="22"/>
          <w:szCs w:val="22"/>
          <w:lang w:eastAsia="en-US"/>
        </w:rPr>
        <w:t>inwestycje@chodecz.pl</w:t>
      </w:r>
      <w:r w:rsidRPr="0051070A">
        <w:rPr>
          <w:rFonts w:asciiTheme="minorHAnsi" w:hAnsiTheme="minorHAnsi" w:cstheme="minorHAnsi"/>
          <w:color w:val="000000"/>
          <w:kern w:val="0"/>
          <w:sz w:val="22"/>
          <w:szCs w:val="22"/>
          <w:lang w:eastAsia="en-US"/>
        </w:rPr>
        <w:t xml:space="preserve">  </w:t>
      </w:r>
    </w:p>
    <w:p w14:paraId="5E39DA14" w14:textId="77777777" w:rsidR="002A7C0C" w:rsidRPr="00B80401"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65014A9C" w14:textId="0A3D2766" w:rsidR="00AE2FFD" w:rsidRPr="00792144" w:rsidRDefault="00AE2FFD" w:rsidP="004D173A">
      <w:pPr>
        <w:autoSpaceDE w:val="0"/>
        <w:spacing w:after="0" w:line="240" w:lineRule="auto"/>
        <w:jc w:val="both"/>
        <w:rPr>
          <w:rFonts w:asciiTheme="minorHAnsi" w:hAnsiTheme="minorHAnsi" w:cstheme="minorHAnsi"/>
          <w:sz w:val="22"/>
          <w:szCs w:val="22"/>
          <w:highlight w:val="yellow"/>
        </w:rPr>
      </w:pPr>
      <w:hyperlink r:id="rId9" w:history="1">
        <w:r w:rsidRPr="00E172F9">
          <w:rPr>
            <w:rStyle w:val="Hipercze"/>
            <w:rFonts w:asciiTheme="minorHAnsi" w:hAnsiTheme="minorHAnsi" w:cstheme="minorHAnsi"/>
            <w:sz w:val="22"/>
            <w:szCs w:val="22"/>
          </w:rPr>
          <w:t>https://ezamowienia.gov.pl/mp-client/tenders/ocds-148610-7ad24ab5-374f-11ee-a60c-9ec5599dddc1</w:t>
        </w:r>
      </w:hyperlink>
      <w:r>
        <w:rPr>
          <w:rFonts w:asciiTheme="minorHAnsi" w:hAnsiTheme="minorHAnsi" w:cstheme="minorHAnsi"/>
          <w:sz w:val="22"/>
          <w:szCs w:val="22"/>
        </w:rPr>
        <w:t xml:space="preserve"> </w:t>
      </w:r>
    </w:p>
    <w:p w14:paraId="2F79BCC2" w14:textId="754CD598"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64546025" w14:textId="31EC6D38" w:rsidR="00AE2FFD" w:rsidRPr="00AE2FFD" w:rsidRDefault="00AE2FFD" w:rsidP="004D173A">
      <w:pPr>
        <w:spacing w:after="0" w:line="240" w:lineRule="auto"/>
        <w:rPr>
          <w:rFonts w:asciiTheme="minorHAnsi" w:hAnsiTheme="minorHAnsi" w:cstheme="minorHAnsi"/>
          <w:sz w:val="22"/>
          <w:szCs w:val="22"/>
          <w:highlight w:val="yellow"/>
        </w:rPr>
      </w:pPr>
      <w:hyperlink r:id="rId10" w:history="1">
        <w:r w:rsidRPr="00E172F9">
          <w:rPr>
            <w:rStyle w:val="Hipercze"/>
            <w:rFonts w:asciiTheme="minorHAnsi" w:hAnsiTheme="minorHAnsi" w:cstheme="minorHAnsi"/>
            <w:sz w:val="22"/>
            <w:szCs w:val="22"/>
          </w:rPr>
          <w:t>https://ezamowienia.gov.pl/mp-client/search/list/ocds-148610-7ad24ab5-374f-11ee-a60c-9ec5599dddc1</w:t>
        </w:r>
      </w:hyperlink>
      <w:r>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06FBEC08" w:rsidR="002A7C0C" w:rsidRPr="00AE2FFD" w:rsidRDefault="002A7C0C" w:rsidP="009D23D1">
      <w:pPr>
        <w:pStyle w:val="Default"/>
        <w:jc w:val="both"/>
        <w:rPr>
          <w:rFonts w:asciiTheme="minorHAnsi" w:hAnsiTheme="minorHAnsi" w:cstheme="minorHAnsi"/>
          <w:b/>
          <w:sz w:val="22"/>
          <w:szCs w:val="22"/>
        </w:rPr>
      </w:pPr>
      <w:r w:rsidRPr="00AE2FFD">
        <w:rPr>
          <w:rFonts w:asciiTheme="minorHAnsi" w:hAnsiTheme="minorHAnsi" w:cstheme="minorHAnsi"/>
          <w:b/>
          <w:bCs/>
          <w:sz w:val="22"/>
          <w:szCs w:val="22"/>
        </w:rPr>
        <w:t>Identyfikator (ID) postępowania na Platformie e-</w:t>
      </w:r>
      <w:r w:rsidRPr="00AE2FFD">
        <w:rPr>
          <w:rFonts w:asciiTheme="minorHAnsi" w:hAnsiTheme="minorHAnsi" w:cstheme="minorHAnsi"/>
          <w:b/>
          <w:sz w:val="22"/>
          <w:szCs w:val="22"/>
        </w:rPr>
        <w:t xml:space="preserve">Zamówienia: </w:t>
      </w:r>
      <w:r w:rsidR="00AE2FFD" w:rsidRPr="00AE2FFD">
        <w:rPr>
          <w:rFonts w:asciiTheme="minorHAnsi" w:hAnsiTheme="minorHAnsi" w:cstheme="minorHAnsi"/>
          <w:b/>
          <w:sz w:val="22"/>
          <w:szCs w:val="22"/>
        </w:rPr>
        <w:t>ocds-148610-7ad24ab5-374f-11ee-a60c-9ec5599dddc1</w:t>
      </w:r>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465E4A8"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E0BC3" w:rsidRPr="00DE14EC">
        <w:rPr>
          <w:rFonts w:asciiTheme="minorHAnsi" w:hAnsiTheme="minorHAnsi" w:cstheme="minorHAnsi"/>
          <w:sz w:val="22"/>
          <w:szCs w:val="22"/>
        </w:rPr>
        <w:t>(</w:t>
      </w:r>
      <w:bookmarkStart w:id="0" w:name="_Hlk124035112"/>
      <w:r w:rsidR="00DE14EC" w:rsidRPr="00DE14EC">
        <w:rPr>
          <w:rFonts w:asciiTheme="minorHAnsi" w:hAnsiTheme="minorHAnsi" w:cstheme="minorHAnsi"/>
          <w:sz w:val="22"/>
          <w:szCs w:val="22"/>
        </w:rPr>
        <w:t>Dz. U. z 2022 r. poz. 1710 ze zm.</w:t>
      </w:r>
      <w:bookmarkEnd w:id="0"/>
      <w:r w:rsidR="009E0BC3" w:rsidRPr="00DE14EC">
        <w:rPr>
          <w:rFonts w:asciiTheme="minorHAnsi" w:hAnsiTheme="minorHAnsi" w:cstheme="minorHAnsi"/>
          <w:sz w:val="22"/>
          <w:szCs w:val="22"/>
        </w:rPr>
        <w:t xml:space="preserve">)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0264B617" w14:textId="0FACC9BD" w:rsidR="00AE2FFD" w:rsidRPr="00A33441" w:rsidRDefault="00AE2FFD" w:rsidP="00AE2FFD">
      <w:pPr>
        <w:pStyle w:val="Akapitzlist"/>
        <w:numPr>
          <w:ilvl w:val="0"/>
          <w:numId w:val="60"/>
        </w:numPr>
        <w:tabs>
          <w:tab w:val="left" w:pos="550"/>
        </w:tabs>
        <w:suppressAutoHyphens/>
        <w:spacing w:after="0" w:line="240" w:lineRule="auto"/>
        <w:jc w:val="both"/>
        <w:rPr>
          <w:rFonts w:asciiTheme="minorHAnsi" w:hAnsiTheme="minorHAnsi" w:cstheme="minorHAnsi"/>
          <w:sz w:val="22"/>
          <w:szCs w:val="22"/>
        </w:rPr>
      </w:pPr>
      <w:r w:rsidRPr="00A33441">
        <w:rPr>
          <w:rFonts w:asciiTheme="minorHAnsi" w:eastAsia="SimSun" w:hAnsiTheme="minorHAnsi" w:cstheme="minorHAnsi"/>
          <w:bCs/>
          <w:sz w:val="22"/>
          <w:szCs w:val="22"/>
        </w:rPr>
        <w:t xml:space="preserve">Przedmiotem zamówienia jest </w:t>
      </w:r>
      <w:r w:rsidRPr="00BA63EB">
        <w:rPr>
          <w:rFonts w:asciiTheme="minorHAnsi" w:hAnsiTheme="minorHAnsi" w:cstheme="minorHAnsi"/>
          <w:b/>
          <w:bCs/>
          <w:sz w:val="22"/>
          <w:szCs w:val="22"/>
        </w:rPr>
        <w:t xml:space="preserve">zakup i </w:t>
      </w:r>
      <w:r w:rsidRPr="00BA63EB">
        <w:rPr>
          <w:rFonts w:asciiTheme="minorHAnsi" w:eastAsia="SimSun" w:hAnsiTheme="minorHAnsi" w:cstheme="minorHAnsi"/>
          <w:b/>
          <w:bCs/>
          <w:sz w:val="22"/>
          <w:szCs w:val="22"/>
        </w:rPr>
        <w:t>d</w:t>
      </w:r>
      <w:r w:rsidRPr="00BA63EB">
        <w:rPr>
          <w:rFonts w:asciiTheme="minorHAnsi" w:hAnsiTheme="minorHAnsi" w:cstheme="minorHAnsi"/>
          <w:b/>
          <w:bCs/>
          <w:sz w:val="22"/>
          <w:szCs w:val="22"/>
        </w:rPr>
        <w:t>ostawa oleju opałowego dla Szkoły Podstawowej im. Tadeusza Kościuszki w Chodczu w Chodczu</w:t>
      </w:r>
      <w:r w:rsidRPr="00BA63EB">
        <w:rPr>
          <w:rFonts w:asciiTheme="minorHAnsi" w:hAnsiTheme="minorHAnsi" w:cstheme="minorHAnsi"/>
          <w:b/>
          <w:sz w:val="22"/>
          <w:szCs w:val="22"/>
        </w:rPr>
        <w:t xml:space="preserve"> w</w:t>
      </w:r>
      <w:r w:rsidRPr="00BA63EB">
        <w:rPr>
          <w:rFonts w:asciiTheme="minorHAnsi" w:hAnsiTheme="minorHAnsi" w:cstheme="minorHAnsi"/>
          <w:b/>
          <w:bCs/>
          <w:sz w:val="22"/>
          <w:szCs w:val="22"/>
        </w:rPr>
        <w:t xml:space="preserve"> ilościach 80 000 litrów </w:t>
      </w:r>
      <w:r w:rsidRPr="00BA63EB">
        <w:rPr>
          <w:rFonts w:asciiTheme="minorHAnsi" w:hAnsiTheme="minorHAnsi" w:cstheme="minorHAnsi"/>
          <w:b/>
          <w:sz w:val="22"/>
          <w:szCs w:val="22"/>
        </w:rPr>
        <w:t xml:space="preserve"> w sezonie grzewczym </w:t>
      </w:r>
      <w:r w:rsidR="00482B72">
        <w:rPr>
          <w:rFonts w:asciiTheme="minorHAnsi" w:hAnsiTheme="minorHAnsi" w:cstheme="minorHAnsi"/>
          <w:b/>
          <w:sz w:val="22"/>
          <w:szCs w:val="22"/>
        </w:rPr>
        <w:t>2023/2024</w:t>
      </w:r>
      <w:r w:rsidRPr="00BA63EB">
        <w:rPr>
          <w:rFonts w:asciiTheme="minorHAnsi" w:hAnsiTheme="minorHAnsi" w:cstheme="minorHAnsi"/>
          <w:b/>
          <w:sz w:val="22"/>
          <w:szCs w:val="22"/>
        </w:rPr>
        <w:t>.</w:t>
      </w:r>
    </w:p>
    <w:p w14:paraId="6CAA4720" w14:textId="77777777" w:rsidR="00AE2FFD" w:rsidRPr="00A33441" w:rsidRDefault="00AE2FFD" w:rsidP="00AE2FFD">
      <w:pPr>
        <w:pStyle w:val="Akapitzlist"/>
        <w:numPr>
          <w:ilvl w:val="0"/>
          <w:numId w:val="60"/>
        </w:numPr>
        <w:tabs>
          <w:tab w:val="left" w:pos="550"/>
        </w:tabs>
        <w:suppressAutoHyphens/>
        <w:spacing w:after="0" w:line="240" w:lineRule="auto"/>
        <w:jc w:val="both"/>
        <w:rPr>
          <w:rFonts w:asciiTheme="minorHAnsi" w:hAnsiTheme="minorHAnsi" w:cstheme="minorHAnsi"/>
          <w:sz w:val="22"/>
          <w:szCs w:val="22"/>
        </w:rPr>
      </w:pPr>
      <w:r w:rsidRPr="00A33441">
        <w:rPr>
          <w:rFonts w:asciiTheme="minorHAnsi" w:hAnsiTheme="minorHAnsi" w:cstheme="minorHAnsi"/>
          <w:kern w:val="0"/>
          <w:sz w:val="22"/>
          <w:szCs w:val="22"/>
          <w:lang w:eastAsia="en-US"/>
        </w:rPr>
        <w:t xml:space="preserve">Zamawiający zastrzega możliwość zmiany ilości dostarczanego oleju, w stosunku do ilości określonych w punkcie 1, z uwagi na uwarunkowania pogodowo – atmosferyczne bądź w wyniku innych czynników mających wpływ na zapotrzebowanie Zamawiającego w zakresie ilości dostaw oleju. W takim </w:t>
      </w:r>
      <w:r w:rsidRPr="00A33441">
        <w:rPr>
          <w:rFonts w:asciiTheme="minorHAnsi" w:hAnsiTheme="minorHAnsi" w:cstheme="minorHAnsi"/>
          <w:kern w:val="0"/>
          <w:sz w:val="22"/>
          <w:szCs w:val="22"/>
          <w:lang w:eastAsia="en-US"/>
        </w:rPr>
        <w:lastRenderedPageBreak/>
        <w:t>przypadku Wykonawcy nie przysługują wobec Zamawiającego roszczenia odszkodowawcze z tytułu zmiany zamówienia. Rozliczenie za dostawy będzie dokonywane zgodnie z rzeczywistą ilością dostarczonego oleju.</w:t>
      </w:r>
    </w:p>
    <w:p w14:paraId="5B778E5D" w14:textId="77777777" w:rsidR="00AE2FFD" w:rsidRPr="001B15F2" w:rsidRDefault="00AE2FFD" w:rsidP="00AE2FFD">
      <w:pPr>
        <w:pStyle w:val="Akapitzlist"/>
        <w:numPr>
          <w:ilvl w:val="0"/>
          <w:numId w:val="60"/>
        </w:numPr>
        <w:tabs>
          <w:tab w:val="left" w:pos="550"/>
        </w:tabs>
        <w:suppressAutoHyphens/>
        <w:autoSpaceDE w:val="0"/>
        <w:autoSpaceDN w:val="0"/>
        <w:adjustRightInd w:val="0"/>
        <w:spacing w:after="0" w:line="240" w:lineRule="auto"/>
        <w:jc w:val="both"/>
        <w:rPr>
          <w:rFonts w:asciiTheme="minorHAnsi" w:hAnsiTheme="minorHAnsi" w:cstheme="minorHAnsi"/>
          <w:kern w:val="0"/>
          <w:sz w:val="22"/>
          <w:szCs w:val="22"/>
          <w:lang w:eastAsia="en-US"/>
        </w:rPr>
      </w:pPr>
      <w:r w:rsidRPr="001B15F2">
        <w:rPr>
          <w:rFonts w:asciiTheme="minorHAnsi" w:hAnsiTheme="minorHAnsi" w:cstheme="minorHAnsi"/>
          <w:kern w:val="0"/>
          <w:sz w:val="22"/>
          <w:szCs w:val="22"/>
          <w:lang w:eastAsia="en-US"/>
        </w:rPr>
        <w:t xml:space="preserve">Olej opałowy musi spełniać parametry jakościowe nie gorsze niż </w:t>
      </w:r>
      <w:bookmarkStart w:id="1" w:name="_Hlk110852968"/>
      <w:r w:rsidRPr="001B15F2">
        <w:rPr>
          <w:rFonts w:asciiTheme="minorHAnsi" w:hAnsiTheme="minorHAnsi" w:cstheme="minorHAnsi"/>
          <w:kern w:val="0"/>
          <w:sz w:val="22"/>
          <w:szCs w:val="22"/>
          <w:lang w:eastAsia="en-US"/>
        </w:rPr>
        <w:t xml:space="preserve">określone w normie </w:t>
      </w:r>
      <w:r w:rsidRPr="001B15F2">
        <w:rPr>
          <w:rFonts w:asciiTheme="minorHAnsi" w:hAnsiTheme="minorHAnsi" w:cstheme="minorHAnsi"/>
          <w:sz w:val="22"/>
          <w:szCs w:val="22"/>
        </w:rPr>
        <w:t xml:space="preserve">PN-C-96024:2020-12 </w:t>
      </w:r>
      <w:r w:rsidRPr="001B15F2">
        <w:rPr>
          <w:rFonts w:asciiTheme="minorHAnsi" w:hAnsiTheme="minorHAnsi" w:cstheme="minorHAnsi"/>
          <w:kern w:val="0"/>
          <w:sz w:val="22"/>
          <w:szCs w:val="22"/>
          <w:lang w:eastAsia="en-US"/>
        </w:rPr>
        <w:t>dla L-1 z uwzględnieniem ROZPORZĄDZENIA MINISTRA ENERGETYKI z dnia 1 grudnia 2016 r. w sprawie wymagań jakościowych dotyczących zawartości siarki dla olejów oraz rodzajów instalacji i warunków, w których będą stosowane ciężkie oleje opałowe (Dz.U.2016 poz. 2008):</w:t>
      </w:r>
    </w:p>
    <w:bookmarkEnd w:id="1"/>
    <w:p w14:paraId="149D5A62"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wartość opałowa nie niższa niż 42,6 MJ/kg</w:t>
      </w:r>
    </w:p>
    <w:p w14:paraId="73A117D9"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zawartość siarki nie więcej niż 0,10% (m/m)</w:t>
      </w:r>
    </w:p>
    <w:p w14:paraId="061CCD28"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gęstość w temperaturze 150C nie wyższa niż 860 kg/m3</w:t>
      </w:r>
    </w:p>
    <w:p w14:paraId="19F72B9C"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temperatura płynięcia nie wyższa niż -200C</w:t>
      </w:r>
    </w:p>
    <w:p w14:paraId="3A50BC5D"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temperatura zapłonu nie niższa niż 560C</w:t>
      </w:r>
    </w:p>
    <w:p w14:paraId="46571A92"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zawartość wody nie wyższa niż 200mg/kg</w:t>
      </w:r>
    </w:p>
    <w:p w14:paraId="16A32444"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lepkość kinematyczna w 200C nie wyższa niż 6 mm2/s</w:t>
      </w:r>
    </w:p>
    <w:p w14:paraId="0BB2F449"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zawartość zanieczyszczeń stałych nie wyższa niż 24 mg/kg</w:t>
      </w:r>
    </w:p>
    <w:p w14:paraId="6B52551B"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skład frakcyjny do temperatury 2500C destyluje nie więcej niż 65%(V/V)</w:t>
      </w:r>
    </w:p>
    <w:p w14:paraId="5097DCAD"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skład frakcyjny do temperatury 3500C destyluje nie więcej niż 85%(V/V)</w:t>
      </w:r>
    </w:p>
    <w:p w14:paraId="6CF9BA07" w14:textId="77777777" w:rsidR="00AE2FFD" w:rsidRPr="00A33441" w:rsidRDefault="00AE2FFD" w:rsidP="00AE2FFD">
      <w:pPr>
        <w:pStyle w:val="Akapitzlist"/>
        <w:numPr>
          <w:ilvl w:val="0"/>
          <w:numId w:val="61"/>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barwa czerwona</w:t>
      </w:r>
    </w:p>
    <w:p w14:paraId="43628EEF" w14:textId="77777777" w:rsidR="00AE2FFD" w:rsidRPr="00A33441" w:rsidRDefault="00AE2FFD" w:rsidP="00AE2FFD">
      <w:pPr>
        <w:pStyle w:val="Akapitzlist"/>
        <w:numPr>
          <w:ilvl w:val="0"/>
          <w:numId w:val="60"/>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 xml:space="preserve">Przedmiot zamówienia obejmuje załadunek, transport do miejsca przeznaczenia oraz wyładunek oleju. </w:t>
      </w:r>
    </w:p>
    <w:p w14:paraId="37125259" w14:textId="77777777" w:rsidR="00AE2FFD" w:rsidRPr="00A33441" w:rsidRDefault="00AE2FFD" w:rsidP="00AE2FFD">
      <w:pPr>
        <w:pStyle w:val="Akapitzlist"/>
        <w:numPr>
          <w:ilvl w:val="0"/>
          <w:numId w:val="60"/>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kern w:val="0"/>
          <w:sz w:val="22"/>
          <w:szCs w:val="22"/>
          <w:lang w:eastAsia="en-US"/>
        </w:rPr>
        <w:t xml:space="preserve">Dostawy oleju będą realizowane sukcesywnie etapami </w:t>
      </w:r>
      <w:r w:rsidRPr="00A33441">
        <w:rPr>
          <w:rFonts w:asciiTheme="minorHAnsi" w:hAnsiTheme="minorHAnsi" w:cstheme="minorHAnsi"/>
          <w:sz w:val="22"/>
          <w:szCs w:val="22"/>
        </w:rPr>
        <w:t xml:space="preserve">na podstawie szczegółowego zamówienia złożonego w jednej z form (pisemnie, telefonicznie, drogą elektroniczną) przez </w:t>
      </w:r>
      <w:r w:rsidRPr="00A33441">
        <w:rPr>
          <w:rFonts w:asciiTheme="minorHAnsi" w:hAnsiTheme="minorHAnsi" w:cstheme="minorHAnsi"/>
          <w:bCs/>
          <w:sz w:val="22"/>
          <w:szCs w:val="22"/>
        </w:rPr>
        <w:t xml:space="preserve">Zamawiającego </w:t>
      </w:r>
      <w:r w:rsidRPr="00A33441">
        <w:rPr>
          <w:rFonts w:asciiTheme="minorHAnsi" w:hAnsiTheme="minorHAnsi" w:cstheme="minorHAnsi"/>
          <w:kern w:val="0"/>
          <w:sz w:val="22"/>
          <w:szCs w:val="22"/>
          <w:lang w:eastAsia="en-US"/>
        </w:rPr>
        <w:t>w terminach, ilościach i miejscach wskazanych przez Zamawiającego. Dostawy oleju opałowego będą odbywać się przy rozliczeniu w temperaturze referencyjnej 15 stopni C.</w:t>
      </w:r>
    </w:p>
    <w:p w14:paraId="54EDECE8" w14:textId="77777777" w:rsidR="00AE2FFD" w:rsidRPr="00A33441" w:rsidRDefault="00AE2FFD" w:rsidP="00AE2FFD">
      <w:pPr>
        <w:numPr>
          <w:ilvl w:val="0"/>
          <w:numId w:val="60"/>
        </w:numPr>
        <w:spacing w:after="0" w:line="240" w:lineRule="auto"/>
        <w:jc w:val="both"/>
        <w:rPr>
          <w:rFonts w:asciiTheme="minorHAnsi" w:hAnsiTheme="minorHAnsi" w:cstheme="minorHAnsi"/>
          <w:sz w:val="22"/>
          <w:szCs w:val="22"/>
        </w:rPr>
      </w:pPr>
      <w:r w:rsidRPr="00A33441">
        <w:rPr>
          <w:rFonts w:asciiTheme="minorHAnsi" w:hAnsiTheme="minorHAnsi" w:cstheme="minorHAnsi"/>
          <w:sz w:val="22"/>
          <w:szCs w:val="22"/>
        </w:rPr>
        <w:t>Zamawiający wymaga dostaw od poniedziałku do piątku włącznie, w godzinach 7</w:t>
      </w:r>
      <w:r w:rsidRPr="00A33441">
        <w:rPr>
          <w:rFonts w:asciiTheme="minorHAnsi" w:hAnsiTheme="minorHAnsi" w:cstheme="minorHAnsi"/>
          <w:sz w:val="22"/>
          <w:szCs w:val="22"/>
          <w:vertAlign w:val="superscript"/>
        </w:rPr>
        <w:t>00 –</w:t>
      </w:r>
      <w:r w:rsidRPr="00A33441">
        <w:rPr>
          <w:rFonts w:asciiTheme="minorHAnsi" w:hAnsiTheme="minorHAnsi" w:cstheme="minorHAnsi"/>
          <w:sz w:val="22"/>
          <w:szCs w:val="22"/>
        </w:rPr>
        <w:t xml:space="preserve"> 15</w:t>
      </w:r>
      <w:r w:rsidRPr="00A33441">
        <w:rPr>
          <w:rFonts w:asciiTheme="minorHAnsi" w:hAnsiTheme="minorHAnsi" w:cstheme="minorHAnsi"/>
          <w:sz w:val="22"/>
          <w:szCs w:val="22"/>
          <w:vertAlign w:val="superscript"/>
        </w:rPr>
        <w:t xml:space="preserve">00 </w:t>
      </w:r>
      <w:r w:rsidRPr="00A33441">
        <w:rPr>
          <w:rFonts w:asciiTheme="minorHAnsi" w:hAnsiTheme="minorHAnsi" w:cstheme="minorHAnsi"/>
          <w:sz w:val="22"/>
          <w:szCs w:val="22"/>
        </w:rPr>
        <w:t>do pomieszczeń kotłowni w ilościach uzgodnionych telefonicznie na dzień przed planowanym terminem dostawy. Zamawiający zastrzega sobie prawo do dodatkowej dostawy w godzinach późniejszych tego samego dnia, w zależności od potrzeb.</w:t>
      </w:r>
    </w:p>
    <w:p w14:paraId="46A6728C" w14:textId="77777777" w:rsidR="00AE2FFD" w:rsidRPr="00A33441" w:rsidRDefault="00AE2FFD" w:rsidP="00AE2FFD">
      <w:pPr>
        <w:pStyle w:val="Akapitzlist"/>
        <w:numPr>
          <w:ilvl w:val="0"/>
          <w:numId w:val="60"/>
        </w:numPr>
        <w:autoSpaceDE w:val="0"/>
        <w:autoSpaceDN w:val="0"/>
        <w:adjustRightInd w:val="0"/>
        <w:spacing w:after="0" w:line="240" w:lineRule="auto"/>
        <w:jc w:val="both"/>
        <w:rPr>
          <w:rFonts w:asciiTheme="minorHAnsi" w:hAnsiTheme="minorHAnsi" w:cstheme="minorHAnsi"/>
          <w:kern w:val="0"/>
          <w:sz w:val="22"/>
          <w:szCs w:val="22"/>
          <w:lang w:eastAsia="en-US"/>
        </w:rPr>
      </w:pPr>
      <w:r w:rsidRPr="00A33441">
        <w:rPr>
          <w:rFonts w:asciiTheme="minorHAnsi" w:hAnsiTheme="minorHAnsi" w:cstheme="minorHAnsi"/>
          <w:sz w:val="22"/>
          <w:szCs w:val="22"/>
        </w:rPr>
        <w:t>Wykonawca zobowiązuje się do dostarczania przedmiotu zamówienia na miejsce rozładunku.</w:t>
      </w:r>
      <w:r w:rsidRPr="00A33441">
        <w:rPr>
          <w:rFonts w:asciiTheme="minorHAnsi" w:hAnsiTheme="minorHAnsi" w:cstheme="minorHAnsi"/>
          <w:kern w:val="0"/>
          <w:sz w:val="22"/>
          <w:szCs w:val="22"/>
          <w:lang w:eastAsia="en-US"/>
        </w:rPr>
        <w:t xml:space="preserve"> Dostawa musi być realizowana przy użyciu specjalistycznego sprzętu i cystern przeznaczonych do przewozu oleju opałowego, posiadających odpowiednie atestowane mierniki przepływowe paliwa i wyposażonych w niezbędne urządzenia do bezproblemowego przepompowania oleju do zbiorników. Transport paliw winien spełniać wymogi odpowiednich przepisów prawa, w tym dotyczących bezpieczeństwa pożarowego, ruchu  drogowego oraz ochrony środowiska.</w:t>
      </w:r>
    </w:p>
    <w:p w14:paraId="7A853EC5" w14:textId="77777777" w:rsidR="00AE2FFD" w:rsidRPr="00D61E1C" w:rsidRDefault="00AE2FFD" w:rsidP="00AE2FFD">
      <w:pPr>
        <w:pStyle w:val="Akapitzlist"/>
        <w:widowControl w:val="0"/>
        <w:numPr>
          <w:ilvl w:val="0"/>
          <w:numId w:val="60"/>
        </w:numPr>
        <w:suppressAutoHyphens/>
        <w:spacing w:after="0" w:line="240" w:lineRule="auto"/>
        <w:contextualSpacing w:val="0"/>
        <w:jc w:val="both"/>
        <w:rPr>
          <w:rFonts w:asciiTheme="minorHAnsi" w:hAnsiTheme="minorHAnsi" w:cstheme="minorHAnsi"/>
          <w:sz w:val="22"/>
          <w:szCs w:val="22"/>
        </w:rPr>
      </w:pPr>
      <w:r w:rsidRPr="00A33441">
        <w:rPr>
          <w:rFonts w:asciiTheme="minorHAnsi" w:hAnsiTheme="minorHAnsi" w:cstheme="minorHAnsi"/>
          <w:sz w:val="22"/>
          <w:szCs w:val="22"/>
        </w:rPr>
        <w:t>Wykonawca zobowiązany</w:t>
      </w:r>
      <w:r w:rsidRPr="00D61E1C">
        <w:rPr>
          <w:rFonts w:asciiTheme="minorHAnsi" w:hAnsiTheme="minorHAnsi" w:cstheme="minorHAnsi"/>
          <w:sz w:val="22"/>
          <w:szCs w:val="22"/>
        </w:rPr>
        <w:t xml:space="preserve"> jest rozładować towar w miejscu wskazanym przez Zamawiającego.</w:t>
      </w:r>
    </w:p>
    <w:p w14:paraId="64C60A91" w14:textId="77777777" w:rsidR="00AE2FFD" w:rsidRPr="00D61E1C" w:rsidRDefault="00AE2FFD" w:rsidP="00AE2FFD">
      <w:pPr>
        <w:pStyle w:val="Akapitzlist"/>
        <w:widowControl w:val="0"/>
        <w:numPr>
          <w:ilvl w:val="0"/>
          <w:numId w:val="60"/>
        </w:numPr>
        <w:suppressAutoHyphens/>
        <w:spacing w:after="0" w:line="240" w:lineRule="auto"/>
        <w:contextualSpacing w:val="0"/>
        <w:jc w:val="both"/>
        <w:rPr>
          <w:rFonts w:asciiTheme="minorHAnsi" w:hAnsiTheme="minorHAnsi" w:cstheme="minorHAnsi"/>
          <w:sz w:val="22"/>
          <w:szCs w:val="22"/>
        </w:rPr>
      </w:pPr>
      <w:r w:rsidRPr="00D61E1C">
        <w:rPr>
          <w:rFonts w:asciiTheme="minorHAnsi" w:hAnsiTheme="minorHAnsi" w:cstheme="minorHAnsi"/>
          <w:kern w:val="0"/>
          <w:sz w:val="22"/>
          <w:szCs w:val="22"/>
          <w:lang w:eastAsia="en-US"/>
        </w:rPr>
        <w:t>Nazwy i kody zamówienia według słownika zamówień (CPV):</w:t>
      </w:r>
    </w:p>
    <w:p w14:paraId="1C905863" w14:textId="77777777" w:rsidR="00AE2FFD" w:rsidRPr="00D61E1C" w:rsidRDefault="00AE2FFD" w:rsidP="00AE2FFD">
      <w:pPr>
        <w:pStyle w:val="Akapitzlist"/>
        <w:widowControl w:val="0"/>
        <w:autoSpaceDE w:val="0"/>
        <w:autoSpaceDN w:val="0"/>
        <w:adjustRightInd w:val="0"/>
        <w:spacing w:after="0" w:line="240" w:lineRule="auto"/>
        <w:ind w:left="360"/>
        <w:jc w:val="both"/>
        <w:rPr>
          <w:rFonts w:asciiTheme="minorHAnsi" w:hAnsiTheme="minorHAnsi" w:cstheme="minorHAnsi"/>
          <w:sz w:val="22"/>
          <w:szCs w:val="22"/>
        </w:rPr>
      </w:pPr>
      <w:r w:rsidRPr="00D61E1C">
        <w:rPr>
          <w:rFonts w:asciiTheme="minorHAnsi" w:hAnsiTheme="minorHAnsi" w:cstheme="minorHAnsi"/>
          <w:sz w:val="22"/>
          <w:szCs w:val="22"/>
        </w:rPr>
        <w:t>09135100-5 Olej opałowy</w:t>
      </w:r>
    </w:p>
    <w:p w14:paraId="689B7D2B" w14:textId="77777777" w:rsidR="00AE2FFD" w:rsidRPr="00D61E1C" w:rsidRDefault="00AE2FFD" w:rsidP="00AE2FFD">
      <w:pPr>
        <w:pStyle w:val="Akapitzlist"/>
        <w:numPr>
          <w:ilvl w:val="0"/>
          <w:numId w:val="60"/>
        </w:numPr>
        <w:spacing w:after="0" w:line="240" w:lineRule="auto"/>
        <w:jc w:val="both"/>
        <w:rPr>
          <w:rFonts w:asciiTheme="minorHAnsi" w:hAnsiTheme="minorHAnsi" w:cstheme="minorHAnsi"/>
          <w:spacing w:val="0"/>
          <w:kern w:val="0"/>
          <w:sz w:val="22"/>
          <w:szCs w:val="22"/>
        </w:rPr>
      </w:pPr>
      <w:r w:rsidRPr="00D61E1C">
        <w:rPr>
          <w:rFonts w:asciiTheme="minorHAnsi" w:eastAsia="SymbolMT" w:hAnsiTheme="minorHAnsi" w:cstheme="minorHAnsi"/>
          <w:kern w:val="0"/>
          <w:sz w:val="22"/>
          <w:szCs w:val="22"/>
          <w:lang w:eastAsia="en-US"/>
        </w:rPr>
        <w:t xml:space="preserve">Ze względu na charakter przedmiotu zamówienia (tj. dostawa), odstępuje się od uwzględnienia wymagań w zakresie dostępności dla osób niepełnosprawnych oraz projektowania z przeznaczeniem dla wszystkich użytkowników, zgodnie z art. 100 ustawy </w:t>
      </w:r>
      <w:proofErr w:type="spellStart"/>
      <w:r w:rsidRPr="00D61E1C">
        <w:rPr>
          <w:rFonts w:asciiTheme="minorHAnsi" w:eastAsia="SymbolMT" w:hAnsiTheme="minorHAnsi" w:cstheme="minorHAnsi"/>
          <w:kern w:val="0"/>
          <w:sz w:val="22"/>
          <w:szCs w:val="22"/>
          <w:lang w:eastAsia="en-US"/>
        </w:rPr>
        <w:t>Pzp</w:t>
      </w:r>
      <w:proofErr w:type="spellEnd"/>
      <w:r w:rsidRPr="00D61E1C">
        <w:rPr>
          <w:rFonts w:asciiTheme="minorHAnsi" w:eastAsia="SymbolMT" w:hAnsiTheme="minorHAnsi" w:cstheme="minorHAnsi"/>
          <w:kern w:val="0"/>
          <w:sz w:val="22"/>
          <w:szCs w:val="22"/>
          <w:lang w:eastAsia="en-US"/>
        </w:rPr>
        <w:t>.</w:t>
      </w:r>
    </w:p>
    <w:p w14:paraId="301DC518" w14:textId="21FDEFA1" w:rsidR="00AE2FFD" w:rsidRPr="00D61E1C" w:rsidRDefault="00AE2FFD" w:rsidP="00AE2FFD">
      <w:pPr>
        <w:pStyle w:val="Akapitzlist"/>
        <w:numPr>
          <w:ilvl w:val="0"/>
          <w:numId w:val="60"/>
        </w:numPr>
        <w:spacing w:after="0" w:line="240" w:lineRule="auto"/>
        <w:contextualSpacing w:val="0"/>
        <w:jc w:val="both"/>
        <w:rPr>
          <w:rFonts w:asciiTheme="minorHAnsi" w:hAnsiTheme="minorHAnsi" w:cstheme="minorHAnsi"/>
          <w:spacing w:val="0"/>
          <w:kern w:val="0"/>
          <w:sz w:val="22"/>
          <w:szCs w:val="22"/>
        </w:rPr>
      </w:pPr>
      <w:r w:rsidRPr="00D61E1C">
        <w:rPr>
          <w:rFonts w:asciiTheme="minorHAnsi" w:hAnsiTheme="minorHAnsi" w:cstheme="minorHAnsi"/>
          <w:sz w:val="22"/>
          <w:szCs w:val="22"/>
          <w:lang w:eastAsia="en-US"/>
        </w:rPr>
        <w:t xml:space="preserve">Szczegółowe obowiązki wykonawcy w zakresie realizacji przedmiotu zamówienia </w:t>
      </w:r>
      <w:r w:rsidRPr="00D61E1C">
        <w:rPr>
          <w:rFonts w:asciiTheme="minorHAnsi" w:hAnsiTheme="minorHAnsi" w:cstheme="minorHAnsi"/>
          <w:sz w:val="22"/>
          <w:szCs w:val="22"/>
        </w:rPr>
        <w:t xml:space="preserve">określają projektowane postanowienia umowy w sprawie zamówienia publicznego - </w:t>
      </w:r>
      <w:r w:rsidRPr="00D61E1C">
        <w:rPr>
          <w:rFonts w:asciiTheme="minorHAnsi" w:hAnsiTheme="minorHAnsi" w:cstheme="minorHAnsi"/>
          <w:b/>
          <w:sz w:val="22"/>
          <w:szCs w:val="22"/>
        </w:rPr>
        <w:t xml:space="preserve">Załącznik nr </w:t>
      </w:r>
      <w:r>
        <w:rPr>
          <w:rFonts w:asciiTheme="minorHAnsi" w:hAnsiTheme="minorHAnsi" w:cstheme="minorHAnsi"/>
          <w:b/>
          <w:sz w:val="22"/>
          <w:szCs w:val="22"/>
        </w:rPr>
        <w:t>2</w:t>
      </w:r>
      <w:r w:rsidRPr="00D61E1C">
        <w:rPr>
          <w:rFonts w:asciiTheme="minorHAnsi" w:hAnsiTheme="minorHAnsi" w:cstheme="minorHAnsi"/>
          <w:b/>
          <w:sz w:val="22"/>
          <w:szCs w:val="22"/>
        </w:rPr>
        <w:t xml:space="preserve"> do SWZ.</w:t>
      </w:r>
      <w:r w:rsidRPr="00D61E1C">
        <w:rPr>
          <w:rFonts w:asciiTheme="minorHAnsi" w:hAnsiTheme="minorHAnsi" w:cstheme="minorHAnsi"/>
          <w:sz w:val="22"/>
          <w:szCs w:val="22"/>
        </w:rPr>
        <w:t xml:space="preserve"> </w:t>
      </w:r>
    </w:p>
    <w:p w14:paraId="2B956F27" w14:textId="77777777" w:rsidR="00FB0CEB" w:rsidRPr="00744A0E" w:rsidRDefault="00FB0CEB"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44D691B8"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482B72">
        <w:rPr>
          <w:rFonts w:asciiTheme="minorHAnsi" w:hAnsiTheme="minorHAnsi" w:cstheme="minorHAnsi"/>
          <w:b/>
          <w:spacing w:val="0"/>
          <w:kern w:val="0"/>
          <w:sz w:val="22"/>
          <w:szCs w:val="22"/>
        </w:rPr>
        <w:t>10</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36A0CAA" w:rsidR="009E0BC3" w:rsidRDefault="009E0BC3" w:rsidP="009E0BC3">
      <w:pPr>
        <w:spacing w:after="120" w:line="240" w:lineRule="auto"/>
        <w:jc w:val="both"/>
        <w:rPr>
          <w:rFonts w:asciiTheme="minorHAnsi" w:hAnsiTheme="minorHAnsi" w:cstheme="minorHAnsi"/>
          <w:b/>
          <w:spacing w:val="0"/>
          <w:kern w:val="0"/>
          <w:sz w:val="22"/>
          <w:szCs w:val="22"/>
        </w:rPr>
      </w:pPr>
    </w:p>
    <w:p w14:paraId="0674A15D" w14:textId="77777777" w:rsidR="005E3A3F" w:rsidRDefault="005E3A3F"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1ED5ECCF" w:rsidR="00BD21B2" w:rsidRDefault="006D6E8C" w:rsidP="00395BD7">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2"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w:t>
      </w:r>
      <w:r w:rsidRPr="002F70BB">
        <w:rPr>
          <w:rFonts w:asciiTheme="minorHAnsi" w:hAnsiTheme="minorHAnsi" w:cstheme="minorHAnsi"/>
          <w:sz w:val="22"/>
          <w:szCs w:val="22"/>
        </w:rPr>
        <w:lastRenderedPageBreak/>
        <w:t xml:space="preserve">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2"/>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4C23AD29" w:rsidR="00673BC0" w:rsidRPr="00D457EB"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D457EB">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D457EB">
        <w:rPr>
          <w:rFonts w:asciiTheme="minorHAnsi" w:hAnsiTheme="minorHAnsi" w:cstheme="minorHAnsi"/>
          <w:color w:val="000000" w:themeColor="text1"/>
          <w:spacing w:val="0"/>
          <w:kern w:val="0"/>
          <w:sz w:val="22"/>
          <w:szCs w:val="22"/>
        </w:rPr>
        <w:t xml:space="preserve"> </w:t>
      </w:r>
      <w:r w:rsidR="00684E64" w:rsidRPr="00D457EB">
        <w:rPr>
          <w:rFonts w:asciiTheme="minorHAnsi" w:hAnsiTheme="minorHAnsi" w:cstheme="minorHAnsi"/>
          <w:color w:val="000000" w:themeColor="text1"/>
          <w:spacing w:val="0"/>
          <w:kern w:val="0"/>
          <w:sz w:val="22"/>
          <w:szCs w:val="22"/>
        </w:rPr>
        <w:br/>
      </w:r>
      <w:r w:rsidR="00482B72">
        <w:rPr>
          <w:rFonts w:asciiTheme="minorHAnsi" w:hAnsiTheme="minorHAnsi" w:cstheme="minorHAnsi"/>
          <w:b/>
          <w:color w:val="000000" w:themeColor="text1"/>
          <w:spacing w:val="0"/>
          <w:kern w:val="0"/>
          <w:sz w:val="22"/>
          <w:szCs w:val="22"/>
          <w:u w:val="single"/>
        </w:rPr>
        <w:t>21 września</w:t>
      </w:r>
      <w:r w:rsidR="00305682" w:rsidRPr="00D457EB">
        <w:rPr>
          <w:rFonts w:asciiTheme="minorHAnsi" w:hAnsiTheme="minorHAnsi" w:cstheme="minorHAnsi"/>
          <w:b/>
          <w:color w:val="000000" w:themeColor="text1"/>
          <w:spacing w:val="0"/>
          <w:kern w:val="0"/>
          <w:sz w:val="22"/>
          <w:szCs w:val="22"/>
          <w:u w:val="single"/>
        </w:rPr>
        <w:t xml:space="preserve"> 2023</w:t>
      </w:r>
      <w:r w:rsidR="00391EC6" w:rsidRPr="00D457EB">
        <w:rPr>
          <w:rFonts w:asciiTheme="minorHAnsi" w:hAnsiTheme="minorHAnsi" w:cstheme="minorHAnsi"/>
          <w:b/>
          <w:color w:val="000000" w:themeColor="text1"/>
          <w:spacing w:val="0"/>
          <w:kern w:val="0"/>
          <w:sz w:val="22"/>
          <w:szCs w:val="22"/>
          <w:u w:val="single"/>
        </w:rPr>
        <w:t xml:space="preserve"> </w:t>
      </w:r>
      <w:r w:rsidRPr="00D457EB">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3"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6BB1EA98"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lastRenderedPageBreak/>
        <w:t xml:space="preserve">Każdy Wykonawca może złożyć tylko jedną ofertę na jedno </w:t>
      </w:r>
      <w:r w:rsidR="00482B72">
        <w:rPr>
          <w:rFonts w:asciiTheme="minorHAnsi" w:hAnsiTheme="minorHAnsi" w:cstheme="minorHAnsi"/>
          <w:kern w:val="0"/>
          <w:sz w:val="22"/>
          <w:szCs w:val="22"/>
          <w:lang w:eastAsia="en-US"/>
        </w:rPr>
        <w:t>zadanie</w:t>
      </w:r>
      <w:r w:rsidRPr="00B55BE1">
        <w:rPr>
          <w:rFonts w:asciiTheme="minorHAnsi" w:hAnsiTheme="minorHAnsi" w:cstheme="minorHAnsi"/>
          <w:kern w:val="0"/>
          <w:sz w:val="22"/>
          <w:szCs w:val="22"/>
          <w:lang w:eastAsia="en-US"/>
        </w:rPr>
        <w:t xml:space="preserve">.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lastRenderedPageBreak/>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5ED0E343" w14:textId="68FAE0D7" w:rsidR="001C4845" w:rsidRPr="005E3A3F" w:rsidRDefault="001C4845" w:rsidP="005E3A3F">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Dopuszczasiętakżezłożenieelektronicznejkopii(skanu)pełnomocnictwasporządzonego uprzedniowformiepisemnej,wformieelektronicznegopoświadczeniasporządzonegostosowniedoart.97</w:t>
      </w:r>
      <w:r w:rsidRPr="00B55BE1">
        <w:rPr>
          <w:rFonts w:asciiTheme="minorHAnsi" w:hAnsiTheme="minorHAnsi" w:cstheme="minorHAnsi"/>
          <w:kern w:val="0"/>
          <w:sz w:val="22"/>
          <w:szCs w:val="22"/>
          <w:lang w:eastAsia="en-US"/>
        </w:rPr>
        <w:lastRenderedPageBreak/>
        <w:t xml:space="preserve">§2ustawyzdnia14lutego1991r.-Prawoonotariacie,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bookmarkEnd w:id="3"/>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37D2F635" w:rsidR="00B02CE0" w:rsidRPr="00D457EB"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 xml:space="preserve">Ofertę wraz z wymaganymi </w:t>
      </w:r>
      <w:r w:rsidRPr="00D457EB">
        <w:rPr>
          <w:rFonts w:asciiTheme="minorHAnsi" w:hAnsiTheme="minorHAnsi" w:cstheme="minorHAnsi"/>
          <w:spacing w:val="0"/>
          <w:kern w:val="0"/>
          <w:sz w:val="22"/>
          <w:szCs w:val="22"/>
        </w:rPr>
        <w:t xml:space="preserve">załącznikami należy złożyć w terminie </w:t>
      </w:r>
      <w:r w:rsidRPr="00D457EB">
        <w:rPr>
          <w:rFonts w:asciiTheme="minorHAnsi" w:hAnsiTheme="minorHAnsi" w:cstheme="minorHAnsi"/>
          <w:spacing w:val="0"/>
          <w:kern w:val="0"/>
          <w:sz w:val="22"/>
          <w:szCs w:val="22"/>
          <w:u w:val="single"/>
        </w:rPr>
        <w:t xml:space="preserve">do dnia </w:t>
      </w:r>
      <w:r w:rsidR="00482B72">
        <w:rPr>
          <w:rFonts w:asciiTheme="minorHAnsi" w:hAnsiTheme="minorHAnsi" w:cstheme="minorHAnsi"/>
          <w:b/>
          <w:spacing w:val="0"/>
          <w:kern w:val="0"/>
          <w:sz w:val="22"/>
          <w:szCs w:val="22"/>
          <w:u w:val="single"/>
        </w:rPr>
        <w:t>21 sierpnia</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b/>
          <w:spacing w:val="0"/>
          <w:kern w:val="0"/>
          <w:sz w:val="22"/>
          <w:szCs w:val="22"/>
          <w:u w:val="single"/>
        </w:rPr>
        <w:t xml:space="preserve">, do godz. </w:t>
      </w:r>
      <w:r w:rsidR="009E0BC3" w:rsidRPr="00D457EB">
        <w:rPr>
          <w:rFonts w:asciiTheme="minorHAnsi" w:hAnsiTheme="minorHAnsi" w:cstheme="minorHAnsi"/>
          <w:b/>
          <w:spacing w:val="0"/>
          <w:kern w:val="0"/>
          <w:sz w:val="22"/>
          <w:szCs w:val="22"/>
          <w:u w:val="single"/>
        </w:rPr>
        <w:t>09</w:t>
      </w:r>
      <w:r w:rsidR="009936B6" w:rsidRPr="00D457EB">
        <w:rPr>
          <w:rFonts w:asciiTheme="minorHAnsi" w:hAnsiTheme="minorHAnsi" w:cstheme="minorHAnsi"/>
          <w:b/>
          <w:spacing w:val="0"/>
          <w:kern w:val="0"/>
          <w:sz w:val="22"/>
          <w:szCs w:val="22"/>
          <w:u w:val="single"/>
        </w:rPr>
        <w:t>:00.</w:t>
      </w:r>
      <w:r w:rsidRPr="00D457EB">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4" w:name="_Hlk125564960"/>
      <w:r w:rsidRPr="00D457EB">
        <w:rPr>
          <w:rFonts w:asciiTheme="minorHAnsi" w:hAnsiTheme="minorHAnsi" w:cstheme="minorHAnsi"/>
          <w:color w:val="000000"/>
          <w:kern w:val="0"/>
          <w:sz w:val="22"/>
          <w:szCs w:val="22"/>
          <w:lang w:eastAsia="en-US"/>
        </w:rPr>
        <w:t>Wykonawca składa ofertę za pośrednictwem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4"/>
    </w:p>
    <w:p w14:paraId="3E0003B0" w14:textId="7B9074A3" w:rsidR="007F1D0B" w:rsidRDefault="007F1D0B" w:rsidP="00F8278E">
      <w:pPr>
        <w:spacing w:after="120" w:line="240" w:lineRule="auto"/>
        <w:jc w:val="both"/>
        <w:rPr>
          <w:rFonts w:asciiTheme="minorHAnsi" w:hAnsiTheme="minorHAnsi" w:cstheme="minorHAnsi"/>
          <w:spacing w:val="0"/>
          <w:kern w:val="0"/>
          <w:sz w:val="22"/>
          <w:szCs w:val="22"/>
        </w:rPr>
      </w:pPr>
    </w:p>
    <w:p w14:paraId="6FD79DED" w14:textId="77777777" w:rsidR="005E3A3F" w:rsidRPr="00744A0E" w:rsidRDefault="005E3A3F"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5" w:name="_Hlk125565159"/>
      <w:r w:rsidRPr="00744A0E">
        <w:rPr>
          <w:rFonts w:asciiTheme="minorHAnsi" w:hAnsiTheme="minorHAnsi" w:cstheme="minorHAnsi"/>
          <w:b/>
          <w:spacing w:val="0"/>
          <w:kern w:val="0"/>
          <w:sz w:val="22"/>
          <w:szCs w:val="22"/>
        </w:rPr>
        <w:lastRenderedPageBreak/>
        <w:t>TERMIN OTWARCIA OFERT</w:t>
      </w:r>
    </w:p>
    <w:p w14:paraId="66E41A98" w14:textId="020BC280"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 xml:space="preserve">Otwarcie ofert nastąpi w dniu </w:t>
      </w:r>
      <w:r w:rsidR="00482B72">
        <w:rPr>
          <w:rFonts w:asciiTheme="minorHAnsi" w:hAnsiTheme="minorHAnsi" w:cstheme="minorHAnsi"/>
          <w:b/>
          <w:spacing w:val="0"/>
          <w:kern w:val="0"/>
          <w:sz w:val="22"/>
          <w:szCs w:val="22"/>
          <w:u w:val="single"/>
        </w:rPr>
        <w:t>21 sierpnia</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spacing w:val="0"/>
          <w:kern w:val="0"/>
          <w:sz w:val="22"/>
          <w:szCs w:val="22"/>
          <w:u w:val="single"/>
        </w:rPr>
        <w:t xml:space="preserve"> </w:t>
      </w:r>
      <w:r w:rsidRPr="00D457EB">
        <w:rPr>
          <w:rFonts w:asciiTheme="minorHAnsi" w:hAnsiTheme="minorHAnsi" w:cstheme="minorHAnsi"/>
          <w:b/>
          <w:spacing w:val="0"/>
          <w:kern w:val="0"/>
          <w:sz w:val="22"/>
          <w:szCs w:val="22"/>
          <w:u w:val="single"/>
        </w:rPr>
        <w:t xml:space="preserve">o godzinie </w:t>
      </w:r>
      <w:r w:rsidR="00792144">
        <w:rPr>
          <w:rFonts w:asciiTheme="minorHAnsi" w:hAnsiTheme="minorHAnsi" w:cstheme="minorHAnsi"/>
          <w:b/>
          <w:spacing w:val="0"/>
          <w:kern w:val="0"/>
          <w:sz w:val="22"/>
          <w:szCs w:val="22"/>
          <w:u w:val="single"/>
        </w:rPr>
        <w:t>10:00</w:t>
      </w:r>
      <w:r w:rsidR="009E0BC3" w:rsidRPr="00D457EB">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Zamawiający</w:t>
      </w:r>
      <w:r w:rsidR="00381DFD" w:rsidRPr="00D457EB">
        <w:rPr>
          <w:rFonts w:asciiTheme="minorHAnsi" w:hAnsiTheme="minorHAnsi" w:cstheme="minorHAnsi"/>
          <w:spacing w:val="0"/>
          <w:kern w:val="0"/>
          <w:sz w:val="22"/>
          <w:szCs w:val="22"/>
        </w:rPr>
        <w:t xml:space="preserve"> po upływie terminu składania ofert lecz nie później niż </w:t>
      </w:r>
      <w:r w:rsidRPr="00D457EB">
        <w:rPr>
          <w:rFonts w:asciiTheme="minorHAnsi" w:hAnsiTheme="minorHAnsi" w:cstheme="minorHAnsi"/>
          <w:spacing w:val="0"/>
          <w:kern w:val="0"/>
          <w:sz w:val="22"/>
          <w:szCs w:val="22"/>
        </w:rPr>
        <w:t xml:space="preserve">przed </w:t>
      </w:r>
      <w:r w:rsidR="00381DFD" w:rsidRPr="00D457EB">
        <w:rPr>
          <w:rFonts w:asciiTheme="minorHAnsi" w:hAnsiTheme="minorHAnsi" w:cstheme="minorHAnsi"/>
          <w:spacing w:val="0"/>
          <w:kern w:val="0"/>
          <w:sz w:val="22"/>
          <w:szCs w:val="22"/>
        </w:rPr>
        <w:t xml:space="preserve">ustalonym terminem </w:t>
      </w:r>
      <w:r w:rsidRPr="00D457EB">
        <w:rPr>
          <w:rFonts w:asciiTheme="minorHAnsi" w:hAnsiTheme="minorHAnsi" w:cstheme="minorHAnsi"/>
          <w:spacing w:val="0"/>
          <w:kern w:val="0"/>
          <w:sz w:val="22"/>
          <w:szCs w:val="22"/>
        </w:rPr>
        <w:t>otwarciem ofert, udostępnia na stronie internetowej prowadzonego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F20DC9">
      <w:pPr>
        <w:pStyle w:val="Akapitzlist"/>
        <w:numPr>
          <w:ilvl w:val="0"/>
          <w:numId w:val="48"/>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F20DC9">
      <w:pPr>
        <w:pStyle w:val="Akapitzlist"/>
        <w:numPr>
          <w:ilvl w:val="0"/>
          <w:numId w:val="48"/>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F20DC9">
      <w:pPr>
        <w:pStyle w:val="Akapitzlist"/>
        <w:numPr>
          <w:ilvl w:val="0"/>
          <w:numId w:val="55"/>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F20DC9">
      <w:pPr>
        <w:pStyle w:val="Akapitzlist"/>
        <w:numPr>
          <w:ilvl w:val="0"/>
          <w:numId w:val="48"/>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 xml:space="preserve">Zamawiający wykluczy Wykonawcę na podstawie art. 5k Rozporządzenia (UE) 2022/576 w sprawie zmiany rozporządzenia (UE) nr 833/2014 dotyczącego środków ograniczających w związku z </w:t>
      </w:r>
      <w:r w:rsidRPr="00267039">
        <w:rPr>
          <w:rFonts w:asciiTheme="minorHAnsi" w:hAnsiTheme="minorHAnsi" w:cstheme="minorHAnsi"/>
          <w:b/>
          <w:sz w:val="22"/>
          <w:szCs w:val="22"/>
        </w:rPr>
        <w:lastRenderedPageBreak/>
        <w:t>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F20DC9">
      <w:pPr>
        <w:pStyle w:val="Default"/>
        <w:numPr>
          <w:ilvl w:val="0"/>
          <w:numId w:val="48"/>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3DD29219" w:rsidR="003F32A6" w:rsidRPr="005E3A3F" w:rsidRDefault="003F32A6" w:rsidP="00F20DC9">
      <w:pPr>
        <w:pStyle w:val="Default"/>
        <w:numPr>
          <w:ilvl w:val="0"/>
          <w:numId w:val="48"/>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lastRenderedPageBreak/>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p w14:paraId="523B8C71" w14:textId="77777777" w:rsidR="005E3A3F" w:rsidRPr="00744A0E" w:rsidRDefault="005E3A3F" w:rsidP="005E3A3F">
      <w:pPr>
        <w:pStyle w:val="Default"/>
        <w:spacing w:before="120"/>
        <w:jc w:val="both"/>
        <w:rPr>
          <w:rFonts w:asciiTheme="minorHAnsi" w:hAnsiTheme="minorHAnsi" w:cstheme="minorHAnsi"/>
          <w:bCs/>
          <w:color w:val="FF0000"/>
          <w:sz w:val="22"/>
          <w:szCs w:val="22"/>
        </w:rPr>
      </w:pPr>
    </w:p>
    <w:bookmarkEnd w:id="5"/>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B45DDCE" w14:textId="77777777" w:rsidR="00482B72" w:rsidRPr="000A6165" w:rsidRDefault="00482B72" w:rsidP="00482B72">
      <w:pPr>
        <w:pStyle w:val="Akapitzlist"/>
        <w:numPr>
          <w:ilvl w:val="0"/>
          <w:numId w:val="2"/>
        </w:numPr>
        <w:autoSpaceDE w:val="0"/>
        <w:autoSpaceDN w:val="0"/>
        <w:adjustRightInd w:val="0"/>
        <w:spacing w:before="120" w:line="240" w:lineRule="auto"/>
        <w:ind w:left="357" w:hanging="357"/>
        <w:jc w:val="both"/>
        <w:rPr>
          <w:rFonts w:asciiTheme="minorHAnsi" w:hAnsiTheme="minorHAnsi" w:cstheme="minorHAnsi"/>
          <w:sz w:val="22"/>
          <w:szCs w:val="22"/>
        </w:rPr>
      </w:pPr>
      <w:r w:rsidRPr="000A6165">
        <w:rPr>
          <w:rFonts w:asciiTheme="minorHAnsi" w:eastAsia="Calibri" w:hAnsiTheme="minorHAnsi" w:cstheme="minorHAnsi"/>
          <w:color w:val="00000A"/>
          <w:sz w:val="22"/>
          <w:szCs w:val="22"/>
        </w:rPr>
        <w:t>Przy wyborze oferty zamawiający będzie się kierował następującymi kryteriami:</w:t>
      </w:r>
    </w:p>
    <w:p w14:paraId="125ACFDA" w14:textId="77777777" w:rsidR="00482B72" w:rsidRPr="000A6165" w:rsidRDefault="00482B72" w:rsidP="00482B72">
      <w:pPr>
        <w:pStyle w:val="Standard"/>
        <w:jc w:val="both"/>
        <w:rPr>
          <w:rFonts w:asciiTheme="minorHAnsi" w:eastAsia="Calibri" w:hAnsiTheme="minorHAnsi" w:cstheme="minorHAnsi"/>
          <w:bCs/>
          <w:color w:val="00000A"/>
          <w:sz w:val="22"/>
          <w:szCs w:val="22"/>
          <w:lang w:val="pl-PL"/>
        </w:rPr>
      </w:pPr>
      <w:r w:rsidRPr="000A6165">
        <w:rPr>
          <w:rFonts w:asciiTheme="minorHAnsi" w:eastAsia="Calibri" w:hAnsiTheme="minorHAnsi" w:cstheme="minorHAnsi"/>
          <w:bCs/>
          <w:color w:val="00000A"/>
          <w:sz w:val="22"/>
          <w:szCs w:val="22"/>
          <w:lang w:val="pl-PL"/>
        </w:rPr>
        <w:t>1) Cena [C] - waga 60</w:t>
      </w:r>
    </w:p>
    <w:p w14:paraId="40E49185" w14:textId="77777777" w:rsidR="00482B72" w:rsidRPr="000A6165" w:rsidRDefault="00482B72" w:rsidP="00482B72">
      <w:pPr>
        <w:pStyle w:val="Standard"/>
        <w:jc w:val="both"/>
        <w:rPr>
          <w:rFonts w:asciiTheme="minorHAnsi" w:eastAsia="Calibri" w:hAnsiTheme="minorHAnsi" w:cstheme="minorHAnsi"/>
          <w:bCs/>
          <w:color w:val="00000A"/>
          <w:sz w:val="22"/>
          <w:szCs w:val="22"/>
          <w:lang w:val="pl-PL"/>
        </w:rPr>
      </w:pPr>
      <w:r w:rsidRPr="000A6165">
        <w:rPr>
          <w:rFonts w:asciiTheme="minorHAnsi" w:eastAsia="Calibri" w:hAnsiTheme="minorHAnsi" w:cstheme="minorHAnsi"/>
          <w:bCs/>
          <w:color w:val="00000A"/>
          <w:sz w:val="22"/>
          <w:szCs w:val="22"/>
          <w:lang w:val="pl-PL"/>
        </w:rPr>
        <w:t>2) Czas dostawy [T] - waga 40</w:t>
      </w:r>
    </w:p>
    <w:p w14:paraId="1BAF856B" w14:textId="77777777" w:rsidR="00482B72" w:rsidRPr="000A6165" w:rsidRDefault="00482B72" w:rsidP="00482B72">
      <w:pPr>
        <w:pStyle w:val="Standard"/>
        <w:jc w:val="both"/>
        <w:rPr>
          <w:rFonts w:asciiTheme="minorHAnsi" w:eastAsia="Calibri" w:hAnsiTheme="minorHAnsi" w:cstheme="minorHAnsi"/>
          <w:color w:val="00000A"/>
          <w:sz w:val="22"/>
          <w:szCs w:val="22"/>
          <w:lang w:val="pl-PL"/>
        </w:rPr>
      </w:pPr>
    </w:p>
    <w:p w14:paraId="379E1524" w14:textId="77777777" w:rsidR="00482B72" w:rsidRPr="000A6165" w:rsidRDefault="00482B72" w:rsidP="00482B72">
      <w:pPr>
        <w:pStyle w:val="Standard"/>
        <w:jc w:val="both"/>
        <w:rPr>
          <w:rFonts w:asciiTheme="minorHAnsi" w:hAnsiTheme="minorHAnsi" w:cstheme="minorHAnsi"/>
          <w:sz w:val="22"/>
          <w:szCs w:val="22"/>
          <w:lang w:val="pl-PL"/>
        </w:rPr>
      </w:pPr>
      <w:r w:rsidRPr="00D61E1C">
        <w:rPr>
          <w:rFonts w:asciiTheme="minorHAnsi" w:eastAsia="Calibri" w:hAnsiTheme="minorHAnsi" w:cstheme="minorHAnsi"/>
          <w:b/>
          <w:color w:val="00000A"/>
          <w:sz w:val="22"/>
          <w:szCs w:val="22"/>
          <w:lang w:val="pl-PL"/>
        </w:rPr>
        <w:t>Kryterium 1 - „Cena"</w:t>
      </w:r>
      <w:r w:rsidRPr="000A6165">
        <w:rPr>
          <w:rFonts w:asciiTheme="minorHAnsi" w:eastAsia="Calibri" w:hAnsiTheme="minorHAnsi" w:cstheme="minorHAnsi"/>
          <w:color w:val="00000A"/>
          <w:sz w:val="22"/>
          <w:szCs w:val="22"/>
          <w:lang w:val="pl-PL"/>
        </w:rPr>
        <w:t xml:space="preserve"> - będzie punktowane przez zamawiającego w oparciu o wyliczenie arytmetyczne: [najniższa cena brutto ze wszystkich ofert niepodlegających odrzuceniu : cena brutto oferty badanej] x 60 (waga), wg niżej podanego wzoru:</w:t>
      </w:r>
    </w:p>
    <w:p w14:paraId="469DD38E" w14:textId="77777777" w:rsidR="00482B72" w:rsidRPr="000A6165" w:rsidRDefault="00482B72" w:rsidP="00482B72">
      <w:pPr>
        <w:pStyle w:val="Standard"/>
        <w:jc w:val="both"/>
        <w:rPr>
          <w:rFonts w:asciiTheme="minorHAnsi" w:hAnsiTheme="minorHAnsi" w:cstheme="minorHAnsi"/>
          <w:sz w:val="22"/>
          <w:szCs w:val="22"/>
          <w:lang w:val="pl-PL"/>
        </w:rPr>
      </w:pPr>
    </w:p>
    <w:p w14:paraId="2FC9C162" w14:textId="77777777" w:rsidR="00482B72" w:rsidRPr="000A6165" w:rsidRDefault="00482B72" w:rsidP="00482B72">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     Najniższa cena ze wszystkich ofert</w:t>
      </w:r>
    </w:p>
    <w:p w14:paraId="6A0C9B6D" w14:textId="77777777" w:rsidR="00482B72" w:rsidRPr="000A6165" w:rsidRDefault="00482B72" w:rsidP="00482B72">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C =---------------------------------------------</w:t>
      </w:r>
      <w:r w:rsidRPr="000A6165">
        <w:rPr>
          <w:rFonts w:asciiTheme="minorHAnsi" w:eastAsia="Calibri" w:hAnsiTheme="minorHAnsi" w:cstheme="minorHAnsi"/>
          <w:color w:val="00000A"/>
          <w:sz w:val="22"/>
          <w:szCs w:val="22"/>
          <w:lang w:val="pl-PL"/>
        </w:rPr>
        <w:tab/>
        <w:t xml:space="preserve"> x 60 = ilość punktów</w:t>
      </w:r>
    </w:p>
    <w:p w14:paraId="00B381BD" w14:textId="77777777" w:rsidR="00482B72" w:rsidRPr="000A6165" w:rsidRDefault="00482B72" w:rsidP="00482B72">
      <w:pPr>
        <w:pStyle w:val="Standard"/>
        <w:jc w:val="both"/>
        <w:rPr>
          <w:rFonts w:asciiTheme="minorHAnsi" w:eastAsia="Calibri" w:hAnsiTheme="minorHAnsi" w:cstheme="minorHAnsi"/>
          <w:color w:val="00000A"/>
          <w:sz w:val="22"/>
          <w:szCs w:val="22"/>
          <w:lang w:val="pl-PL"/>
        </w:rPr>
      </w:pPr>
      <w:r w:rsidRPr="000A6165">
        <w:rPr>
          <w:rFonts w:asciiTheme="minorHAnsi" w:eastAsia="Calibri" w:hAnsiTheme="minorHAnsi" w:cstheme="minorHAnsi"/>
          <w:color w:val="00000A"/>
          <w:sz w:val="22"/>
          <w:szCs w:val="22"/>
          <w:lang w:val="pl-PL"/>
        </w:rPr>
        <w:t xml:space="preserve">     Cena oferty badanej</w:t>
      </w:r>
    </w:p>
    <w:p w14:paraId="0184DAAC" w14:textId="77777777" w:rsidR="00482B72" w:rsidRPr="000A6165" w:rsidRDefault="00482B72" w:rsidP="00482B72">
      <w:pPr>
        <w:pStyle w:val="Standard"/>
        <w:jc w:val="both"/>
        <w:rPr>
          <w:rFonts w:asciiTheme="minorHAnsi" w:eastAsia="Calibri" w:hAnsiTheme="minorHAnsi" w:cstheme="minorHAnsi"/>
          <w:color w:val="00000A"/>
          <w:sz w:val="22"/>
          <w:szCs w:val="22"/>
          <w:lang w:val="pl-PL"/>
        </w:rPr>
      </w:pPr>
    </w:p>
    <w:p w14:paraId="22405E2B" w14:textId="77777777" w:rsidR="005E3A3F" w:rsidRDefault="005E3A3F" w:rsidP="00482B72">
      <w:pPr>
        <w:pStyle w:val="Standard"/>
        <w:jc w:val="both"/>
        <w:rPr>
          <w:rFonts w:eastAsia="Calibri" w:cs="Calibri"/>
          <w:b/>
          <w:color w:val="00000A"/>
          <w:sz w:val="22"/>
          <w:lang w:val="pl-PL"/>
        </w:rPr>
      </w:pPr>
    </w:p>
    <w:p w14:paraId="5833B197" w14:textId="1A696B65" w:rsidR="00482B72" w:rsidRPr="005E3A3F" w:rsidRDefault="00482B72" w:rsidP="00482B72">
      <w:pPr>
        <w:pStyle w:val="Standard"/>
        <w:jc w:val="both"/>
        <w:rPr>
          <w:lang w:val="pl-PL"/>
        </w:rPr>
      </w:pPr>
      <w:r w:rsidRPr="00D61E1C">
        <w:rPr>
          <w:rFonts w:eastAsia="Calibri" w:cs="Calibri"/>
          <w:b/>
          <w:color w:val="00000A"/>
          <w:sz w:val="22"/>
          <w:lang w:val="pl-PL"/>
        </w:rPr>
        <w:lastRenderedPageBreak/>
        <w:t>Kryterium 2 - „Czas dostawy"-</w:t>
      </w:r>
      <w:r>
        <w:rPr>
          <w:rFonts w:eastAsia="Calibri" w:cs="Calibri"/>
          <w:color w:val="00000A"/>
          <w:sz w:val="22"/>
          <w:lang w:val="pl-PL"/>
        </w:rPr>
        <w:t xml:space="preserve"> będzie punktowane przez zamawiającego w oparciu o wyliczenie arytmetyczne:</w:t>
      </w:r>
      <w:r w:rsidRPr="008F397F">
        <w:rPr>
          <w:rFonts w:eastAsia="Calibri" w:cs="Calibri"/>
          <w:color w:val="00000A"/>
          <w:sz w:val="22"/>
          <w:lang w:val="pl-PL"/>
        </w:rPr>
        <w:t xml:space="preserve"> </w:t>
      </w:r>
      <w:r>
        <w:rPr>
          <w:rFonts w:eastAsia="Calibri" w:cs="Calibri"/>
          <w:color w:val="00000A"/>
          <w:sz w:val="22"/>
          <w:lang w:val="pl-PL"/>
        </w:rPr>
        <w:t>[najkrótszy czas dostawy ze wszystkich ofert niepodlegających odrzuceniu : czas dostawy oferty badanej] x 40 (waga), wg niżej podanego wzoru:</w:t>
      </w:r>
    </w:p>
    <w:p w14:paraId="357DBCEC" w14:textId="77777777" w:rsidR="00482B72" w:rsidRDefault="00482B72" w:rsidP="00482B72">
      <w:pPr>
        <w:pStyle w:val="Standard"/>
        <w:jc w:val="both"/>
        <w:rPr>
          <w:rFonts w:eastAsia="Calibri" w:cs="Calibri"/>
          <w:color w:val="00000A"/>
          <w:sz w:val="22"/>
          <w:lang w:val="pl-PL"/>
        </w:rPr>
      </w:pPr>
    </w:p>
    <w:p w14:paraId="161BC18F"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 xml:space="preserve">     Najkrótszy czas dostawy ze wszystkich ofert</w:t>
      </w:r>
    </w:p>
    <w:p w14:paraId="41DD386E"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T =----------------------------------------------------------</w:t>
      </w:r>
      <w:r>
        <w:rPr>
          <w:rFonts w:eastAsia="Calibri" w:cs="Calibri"/>
          <w:color w:val="00000A"/>
          <w:sz w:val="22"/>
          <w:lang w:val="pl-PL"/>
        </w:rPr>
        <w:tab/>
        <w:t xml:space="preserve"> x 40 = ilość punktów</w:t>
      </w:r>
    </w:p>
    <w:p w14:paraId="5ECAB79D"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 xml:space="preserve">     Czas dostawy oferty badanej</w:t>
      </w:r>
    </w:p>
    <w:p w14:paraId="21F2F234" w14:textId="77777777" w:rsidR="00482B72" w:rsidRDefault="00482B72" w:rsidP="00482B72">
      <w:pPr>
        <w:pStyle w:val="Standard"/>
        <w:jc w:val="both"/>
        <w:rPr>
          <w:rFonts w:eastAsia="Calibri" w:cs="Calibri"/>
          <w:color w:val="00000A"/>
          <w:sz w:val="22"/>
          <w:lang w:val="pl-PL"/>
        </w:rPr>
      </w:pPr>
    </w:p>
    <w:p w14:paraId="00428B83" w14:textId="77777777" w:rsidR="00482B72" w:rsidRPr="00D61E1C" w:rsidRDefault="00482B72" w:rsidP="00482B72">
      <w:pPr>
        <w:spacing w:line="240" w:lineRule="auto"/>
        <w:rPr>
          <w:rFonts w:asciiTheme="minorHAnsi" w:hAnsiTheme="minorHAnsi" w:cstheme="minorHAnsi"/>
          <w:sz w:val="22"/>
          <w:szCs w:val="22"/>
        </w:rPr>
      </w:pPr>
      <w:r w:rsidRPr="00D61E1C">
        <w:rPr>
          <w:rFonts w:asciiTheme="minorHAnsi" w:hAnsiTheme="minorHAnsi" w:cstheme="minorHAnsi"/>
          <w:sz w:val="22"/>
          <w:szCs w:val="22"/>
        </w:rPr>
        <w:t>Uwaga! Zamawiający uznaje za korzystny czas dostawy towaru do 24 godzin po złożeniu zamówienia.</w:t>
      </w:r>
    </w:p>
    <w:p w14:paraId="13EED32B"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Ł = C + T</w:t>
      </w:r>
    </w:p>
    <w:p w14:paraId="4C27E367"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gdzie:</w:t>
      </w:r>
    </w:p>
    <w:p w14:paraId="314BB2E7"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 xml:space="preserve">Ł - łączna ilość punktów za wszystkie kryteria </w:t>
      </w:r>
    </w:p>
    <w:p w14:paraId="401B14B8" w14:textId="77777777"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C - punkty przyznane w kryterium „Cena"</w:t>
      </w:r>
    </w:p>
    <w:p w14:paraId="69F6B7A6" w14:textId="33C57723" w:rsidR="00482B72" w:rsidRDefault="00482B72" w:rsidP="00482B72">
      <w:pPr>
        <w:pStyle w:val="Standard"/>
        <w:jc w:val="both"/>
        <w:rPr>
          <w:rFonts w:eastAsia="Calibri" w:cs="Calibri"/>
          <w:color w:val="00000A"/>
          <w:sz w:val="22"/>
          <w:lang w:val="pl-PL"/>
        </w:rPr>
      </w:pPr>
      <w:r>
        <w:rPr>
          <w:rFonts w:eastAsia="Calibri" w:cs="Calibri"/>
          <w:color w:val="00000A"/>
          <w:sz w:val="22"/>
          <w:lang w:val="pl-PL"/>
        </w:rPr>
        <w:t>T - punkty przyznane w kryterium „Czas dostawy"</w:t>
      </w:r>
    </w:p>
    <w:p w14:paraId="3978458B" w14:textId="77777777" w:rsidR="00482B72" w:rsidRDefault="00482B72" w:rsidP="00482B72">
      <w:pPr>
        <w:pStyle w:val="Standard"/>
        <w:jc w:val="both"/>
        <w:rPr>
          <w:rFonts w:eastAsia="Calibri" w:cs="Calibri"/>
          <w:b/>
          <w:bCs/>
          <w:color w:val="00000A"/>
          <w:sz w:val="22"/>
          <w:lang w:val="pl-PL"/>
        </w:rPr>
      </w:pPr>
    </w:p>
    <w:p w14:paraId="38F04F38" w14:textId="5A80A3D0" w:rsidR="00482B72" w:rsidRPr="008C2091" w:rsidRDefault="00482B72" w:rsidP="00482B72">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hAnsiTheme="minorHAnsi" w:cstheme="minorHAnsi"/>
          <w:b/>
          <w:sz w:val="22"/>
          <w:szCs w:val="22"/>
        </w:rPr>
        <w:t xml:space="preserve">Wykonawca winien wypełnić w Formularzu ofertowym, stanowiącym załącznik nr </w:t>
      </w:r>
      <w:r>
        <w:rPr>
          <w:rFonts w:asciiTheme="minorHAnsi" w:hAnsiTheme="minorHAnsi" w:cstheme="minorHAnsi"/>
          <w:b/>
          <w:sz w:val="22"/>
          <w:szCs w:val="22"/>
        </w:rPr>
        <w:t>1</w:t>
      </w:r>
      <w:r w:rsidRPr="008C2091">
        <w:rPr>
          <w:rFonts w:asciiTheme="minorHAnsi" w:hAnsiTheme="minorHAnsi" w:cstheme="minorHAnsi"/>
          <w:b/>
          <w:sz w:val="22"/>
          <w:szCs w:val="22"/>
        </w:rPr>
        <w:t xml:space="preserve"> do niniejszej SWZ część dotyczącą kryterium „</w:t>
      </w:r>
      <w:r>
        <w:rPr>
          <w:rFonts w:asciiTheme="minorHAnsi" w:hAnsiTheme="minorHAnsi" w:cstheme="minorHAnsi"/>
          <w:b/>
          <w:sz w:val="22"/>
          <w:szCs w:val="22"/>
        </w:rPr>
        <w:t>Czas dostawy</w:t>
      </w:r>
      <w:r w:rsidRPr="008C2091">
        <w:rPr>
          <w:rFonts w:asciiTheme="minorHAnsi" w:hAnsiTheme="minorHAnsi" w:cstheme="minorHAnsi"/>
          <w:b/>
          <w:sz w:val="22"/>
          <w:szCs w:val="22"/>
        </w:rPr>
        <w:t>”</w:t>
      </w:r>
      <w:r w:rsidRPr="008C2091">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w:t>
      </w:r>
      <w:r>
        <w:rPr>
          <w:rFonts w:asciiTheme="minorHAnsi" w:hAnsiTheme="minorHAnsi" w:cstheme="minorHAnsi"/>
          <w:sz w:val="22"/>
          <w:szCs w:val="22"/>
        </w:rPr>
        <w:t>nie przyzna punktów w ramach niniejszego kryterium</w:t>
      </w:r>
      <w:r w:rsidRPr="008C2091">
        <w:rPr>
          <w:rFonts w:asciiTheme="minorHAnsi" w:hAnsiTheme="minorHAnsi" w:cstheme="minorHAnsi"/>
          <w:sz w:val="22"/>
          <w:szCs w:val="22"/>
        </w:rPr>
        <w:t>.</w:t>
      </w:r>
    </w:p>
    <w:p w14:paraId="761BF11B" w14:textId="77777777" w:rsidR="00482B72" w:rsidRPr="008C2091" w:rsidRDefault="00482B72" w:rsidP="00482B72">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28FD89E1" w14:textId="77777777" w:rsidR="00482B72" w:rsidRPr="008C2091" w:rsidRDefault="00482B72" w:rsidP="00482B72">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Zamawiający udzieli zamówienia Wykonawcy, którego oferta odpowiadać będzie wszystkim wymaganiom przedstawionym w ustawie PZP oraz w SWZ i zostanie oceniona jako najkorzystniejsza w oparciu o podane kryteria wyboru. </w:t>
      </w:r>
    </w:p>
    <w:p w14:paraId="219F33F6" w14:textId="77777777" w:rsidR="00482B72" w:rsidRPr="008C2091" w:rsidRDefault="00482B72" w:rsidP="00482B72">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0FCBF5B" w14:textId="77777777" w:rsidR="00482B72" w:rsidRDefault="00482B72"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6"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F20DC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5949B803" w:rsidR="00671CDF" w:rsidRDefault="00671CDF" w:rsidP="00073149">
      <w:pPr>
        <w:spacing w:after="160" w:line="240" w:lineRule="auto"/>
        <w:jc w:val="both"/>
        <w:rPr>
          <w:rFonts w:asciiTheme="minorHAnsi" w:hAnsiTheme="minorHAnsi" w:cstheme="minorHAnsi"/>
          <w:sz w:val="22"/>
          <w:szCs w:val="22"/>
        </w:rPr>
      </w:pPr>
    </w:p>
    <w:p w14:paraId="7C253F60" w14:textId="77777777" w:rsidR="005E3A3F" w:rsidRPr="00744A0E" w:rsidRDefault="005E3A3F"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6"/>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3A723E6B" w14:textId="7BFFE18A" w:rsidR="005A11C3" w:rsidRPr="00482B72" w:rsidRDefault="000828BD" w:rsidP="00ED6165">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64EEB7F6" w14:textId="0BB9448A" w:rsidR="00482B72" w:rsidRDefault="00482B72" w:rsidP="00482B72">
      <w:pPr>
        <w:pStyle w:val="Default"/>
        <w:spacing w:before="120"/>
        <w:rPr>
          <w:rFonts w:asciiTheme="minorHAnsi" w:hAnsiTheme="minorHAnsi" w:cstheme="minorHAnsi"/>
          <w:sz w:val="22"/>
          <w:szCs w:val="22"/>
        </w:rPr>
      </w:pPr>
      <w:r w:rsidRPr="009F7930">
        <w:rPr>
          <w:rFonts w:asciiTheme="minorHAnsi" w:hAnsiTheme="minorHAnsi" w:cstheme="minorHAnsi"/>
          <w:sz w:val="22"/>
          <w:szCs w:val="22"/>
        </w:rPr>
        <w:t xml:space="preserve">Zamawiający </w:t>
      </w:r>
      <w:r>
        <w:rPr>
          <w:rFonts w:asciiTheme="minorHAnsi" w:hAnsiTheme="minorHAnsi" w:cstheme="minorHAnsi"/>
          <w:sz w:val="22"/>
          <w:szCs w:val="22"/>
        </w:rPr>
        <w:t xml:space="preserve">nie </w:t>
      </w:r>
      <w:r w:rsidRPr="009F7930">
        <w:rPr>
          <w:rFonts w:asciiTheme="minorHAnsi" w:hAnsiTheme="minorHAnsi" w:cstheme="minorHAnsi"/>
          <w:sz w:val="22"/>
          <w:szCs w:val="22"/>
        </w:rPr>
        <w:t>dopuszcza składanie ofert częściowych</w:t>
      </w:r>
      <w:r>
        <w:rPr>
          <w:rFonts w:asciiTheme="minorHAnsi" w:hAnsiTheme="minorHAnsi" w:cstheme="minorHAnsi"/>
          <w:sz w:val="22"/>
          <w:szCs w:val="22"/>
        </w:rPr>
        <w:t>, gdyż przedmiotem zamówienia jest dostawa jednego rodzaju towaru – oleju opałowego do jednej placówki.</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30F2C679" w14:textId="1FA6FC44" w:rsidR="00617491" w:rsidRDefault="00617491" w:rsidP="00395BD7">
      <w:pPr>
        <w:pStyle w:val="Default"/>
        <w:rPr>
          <w:rFonts w:asciiTheme="minorHAnsi" w:hAnsiTheme="minorHAnsi" w:cstheme="minorHAnsi"/>
          <w:sz w:val="22"/>
          <w:szCs w:val="22"/>
        </w:rPr>
      </w:pPr>
    </w:p>
    <w:p w14:paraId="6D307A86" w14:textId="77777777" w:rsidR="00482B72" w:rsidRPr="008C2091" w:rsidRDefault="00482B72" w:rsidP="00482B72">
      <w:pPr>
        <w:pStyle w:val="Default"/>
        <w:rPr>
          <w:rFonts w:asciiTheme="minorHAnsi" w:hAnsiTheme="minorHAnsi" w:cstheme="minorHAnsi"/>
          <w:sz w:val="22"/>
          <w:szCs w:val="22"/>
        </w:rPr>
      </w:pPr>
      <w:r w:rsidRPr="008C2091">
        <w:rPr>
          <w:rFonts w:asciiTheme="minorHAnsi" w:hAnsiTheme="minorHAnsi" w:cstheme="minorHAnsi"/>
          <w:sz w:val="22"/>
          <w:szCs w:val="22"/>
        </w:rPr>
        <w:t>Nie dotyczy (przedmiotem zamówienia są dostawy a nie usługi lub roboty budowalne).</w:t>
      </w:r>
    </w:p>
    <w:p w14:paraId="64288130" w14:textId="77777777" w:rsidR="00482B72" w:rsidRPr="00744A0E" w:rsidRDefault="00482B72"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w:t>
      </w:r>
      <w:bookmarkStart w:id="7" w:name="_GoBack"/>
      <w:bookmarkEnd w:id="7"/>
      <w:r w:rsidRPr="00744A0E">
        <w:rPr>
          <w:rFonts w:asciiTheme="minorHAnsi" w:hAnsiTheme="minorHAnsi" w:cstheme="minorHAnsi"/>
          <w:b/>
          <w:sz w:val="22"/>
          <w:szCs w:val="22"/>
        </w:rPr>
        <w:t xml:space="preserve">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1430999E" w14:textId="77777777" w:rsidR="00BB5D77" w:rsidRDefault="00BB5D77" w:rsidP="00BB5D77">
      <w:pPr>
        <w:spacing w:before="240" w:after="240" w:line="240" w:lineRule="auto"/>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Zamawiający nie wymaga wniesienia zabezpieczenia należytego wykonania umowy.</w:t>
      </w: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8"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7976FFDD" w14:textId="48EFB2DC"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w:t>
      </w:r>
      <w:r w:rsidR="00BB5D77">
        <w:rPr>
          <w:rFonts w:asciiTheme="minorHAnsi" w:hAnsiTheme="minorHAnsi" w:cstheme="minorHAnsi"/>
          <w:spacing w:val="0"/>
          <w:kern w:val="0"/>
          <w:sz w:val="22"/>
          <w:szCs w:val="22"/>
          <w:lang w:eastAsia="ar-SA"/>
        </w:rPr>
        <w:t>1</w:t>
      </w:r>
      <w:r w:rsidRPr="00744A0E">
        <w:rPr>
          <w:rFonts w:asciiTheme="minorHAnsi" w:hAnsiTheme="minorHAnsi" w:cstheme="minorHAnsi"/>
          <w:spacing w:val="0"/>
          <w:kern w:val="0"/>
          <w:sz w:val="22"/>
          <w:szCs w:val="22"/>
          <w:lang w:eastAsia="ar-SA"/>
        </w:rPr>
        <w:t>;</w:t>
      </w:r>
    </w:p>
    <w:p w14:paraId="280DD206" w14:textId="4E49D257" w:rsidR="00BB5D77" w:rsidRPr="00744A0E" w:rsidRDefault="00BB5D77" w:rsidP="00BB5D77">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Projektowane postanowienia umowy w sprawie zamówienia publicznego – Załącznik nr </w:t>
      </w:r>
      <w:r>
        <w:rPr>
          <w:rFonts w:asciiTheme="minorHAnsi" w:hAnsiTheme="minorHAnsi" w:cstheme="minorHAnsi"/>
          <w:spacing w:val="0"/>
          <w:kern w:val="0"/>
          <w:sz w:val="22"/>
          <w:szCs w:val="22"/>
          <w:lang w:eastAsia="ar-SA"/>
        </w:rPr>
        <w:t>2</w:t>
      </w:r>
      <w:r w:rsidRPr="00744A0E">
        <w:rPr>
          <w:rFonts w:asciiTheme="minorHAnsi" w:hAnsiTheme="minorHAnsi" w:cstheme="minorHAnsi"/>
          <w:spacing w:val="0"/>
          <w:kern w:val="0"/>
          <w:sz w:val="22"/>
          <w:szCs w:val="22"/>
          <w:lang w:eastAsia="ar-SA"/>
        </w:rPr>
        <w:t>;</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8"/>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73A2A" w14:textId="77777777" w:rsidR="00F56BE7" w:rsidRDefault="00F56BE7" w:rsidP="00255A38">
      <w:pPr>
        <w:spacing w:after="0" w:line="240" w:lineRule="auto"/>
      </w:pPr>
      <w:r>
        <w:separator/>
      </w:r>
    </w:p>
  </w:endnote>
  <w:endnote w:type="continuationSeparator" w:id="0">
    <w:p w14:paraId="4A60B41A" w14:textId="77777777" w:rsidR="00F56BE7" w:rsidRDefault="00F56BE7"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imSun">
    <w:altName w:val="??ˇ¦|||||||||||||||||||||||||||"/>
    <w:panose1 w:val="02010600030101010101"/>
    <w:charset w:val="86"/>
    <w:family w:val="auto"/>
    <w:pitch w:val="variable"/>
    <w:sig w:usb0="00000203" w:usb1="288F0000" w:usb2="00000016" w:usb3="00000000" w:csb0="0004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495415" w:rsidRDefault="00495415">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495415" w:rsidRDefault="00495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46623" w14:textId="77777777" w:rsidR="00F56BE7" w:rsidRDefault="00F56BE7" w:rsidP="00255A38">
      <w:pPr>
        <w:spacing w:after="0" w:line="240" w:lineRule="auto"/>
      </w:pPr>
      <w:r>
        <w:separator/>
      </w:r>
    </w:p>
  </w:footnote>
  <w:footnote w:type="continuationSeparator" w:id="0">
    <w:p w14:paraId="520A5E76" w14:textId="77777777" w:rsidR="00F56BE7" w:rsidRDefault="00F56BE7"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0777F"/>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94A0180"/>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5E280D"/>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53B3FDE"/>
    <w:multiLevelType w:val="hybridMultilevel"/>
    <w:tmpl w:val="D034FE04"/>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B7D3607"/>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7"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0EF0B5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9"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4"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42B42BC6"/>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6F30B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4"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37953"/>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6"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9FC6639"/>
    <w:multiLevelType w:val="hybridMultilevel"/>
    <w:tmpl w:val="7318CEEC"/>
    <w:lvl w:ilvl="0" w:tplc="14F2FAC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DC4BF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3"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4521E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0"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3" w15:restartNumberingAfterBreak="0">
    <w:nsid w:val="774B550C"/>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1"/>
  </w:num>
  <w:num w:numId="3">
    <w:abstractNumId w:val="26"/>
  </w:num>
  <w:num w:numId="4">
    <w:abstractNumId w:val="64"/>
  </w:num>
  <w:num w:numId="5">
    <w:abstractNumId w:val="16"/>
  </w:num>
  <w:num w:numId="6">
    <w:abstractNumId w:val="54"/>
  </w:num>
  <w:num w:numId="7">
    <w:abstractNumId w:val="65"/>
  </w:num>
  <w:num w:numId="8">
    <w:abstractNumId w:val="25"/>
  </w:num>
  <w:num w:numId="9">
    <w:abstractNumId w:val="62"/>
  </w:num>
  <w:num w:numId="10">
    <w:abstractNumId w:val="4"/>
  </w:num>
  <w:num w:numId="11">
    <w:abstractNumId w:val="22"/>
  </w:num>
  <w:num w:numId="12">
    <w:abstractNumId w:val="19"/>
  </w:num>
  <w:num w:numId="13">
    <w:abstractNumId w:val="7"/>
  </w:num>
  <w:num w:numId="14">
    <w:abstractNumId w:val="9"/>
  </w:num>
  <w:num w:numId="15">
    <w:abstractNumId w:val="57"/>
  </w:num>
  <w:num w:numId="16">
    <w:abstractNumId w:val="27"/>
  </w:num>
  <w:num w:numId="17">
    <w:abstractNumId w:val="24"/>
  </w:num>
  <w:num w:numId="18">
    <w:abstractNumId w:val="3"/>
  </w:num>
  <w:num w:numId="19">
    <w:abstractNumId w:val="18"/>
  </w:num>
  <w:num w:numId="20">
    <w:abstractNumId w:val="37"/>
  </w:num>
  <w:num w:numId="21">
    <w:abstractNumId w:val="31"/>
  </w:num>
  <w:num w:numId="22">
    <w:abstractNumId w:val="35"/>
  </w:num>
  <w:num w:numId="23">
    <w:abstractNumId w:val="49"/>
  </w:num>
  <w:num w:numId="24">
    <w:abstractNumId w:val="21"/>
  </w:num>
  <w:num w:numId="25">
    <w:abstractNumId w:val="12"/>
  </w:num>
  <w:num w:numId="26">
    <w:abstractNumId w:val="48"/>
  </w:num>
  <w:num w:numId="27">
    <w:abstractNumId w:val="55"/>
  </w:num>
  <w:num w:numId="28">
    <w:abstractNumId w:val="2"/>
  </w:num>
  <w:num w:numId="29">
    <w:abstractNumId w:val="53"/>
  </w:num>
  <w:num w:numId="30">
    <w:abstractNumId w:val="36"/>
  </w:num>
  <w:num w:numId="31">
    <w:abstractNumId w:val="11"/>
  </w:num>
  <w:num w:numId="32">
    <w:abstractNumId w:val="30"/>
  </w:num>
  <w:num w:numId="33">
    <w:abstractNumId w:val="66"/>
  </w:num>
  <w:num w:numId="34">
    <w:abstractNumId w:val="39"/>
  </w:num>
  <w:num w:numId="35">
    <w:abstractNumId w:val="50"/>
  </w:num>
  <w:num w:numId="36">
    <w:abstractNumId w:val="17"/>
  </w:num>
  <w:num w:numId="37">
    <w:abstractNumId w:val="8"/>
  </w:num>
  <w:num w:numId="38">
    <w:abstractNumId w:val="63"/>
  </w:num>
  <w:num w:numId="39">
    <w:abstractNumId w:val="38"/>
  </w:num>
  <w:num w:numId="40">
    <w:abstractNumId w:val="6"/>
  </w:num>
  <w:num w:numId="41">
    <w:abstractNumId w:val="13"/>
  </w:num>
  <w:num w:numId="42">
    <w:abstractNumId w:val="45"/>
  </w:num>
  <w:num w:numId="43">
    <w:abstractNumId w:val="43"/>
  </w:num>
  <w:num w:numId="44">
    <w:abstractNumId w:val="28"/>
  </w:num>
  <w:num w:numId="45">
    <w:abstractNumId w:val="59"/>
  </w:num>
  <w:num w:numId="46">
    <w:abstractNumId w:val="52"/>
  </w:num>
  <w:num w:numId="47">
    <w:abstractNumId w:val="5"/>
  </w:num>
  <w:num w:numId="48">
    <w:abstractNumId w:val="51"/>
  </w:num>
  <w:num w:numId="49">
    <w:abstractNumId w:val="44"/>
  </w:num>
  <w:num w:numId="50">
    <w:abstractNumId w:val="40"/>
  </w:num>
  <w:num w:numId="51">
    <w:abstractNumId w:val="56"/>
  </w:num>
  <w:num w:numId="52">
    <w:abstractNumId w:val="42"/>
  </w:num>
  <w:num w:numId="53">
    <w:abstractNumId w:val="23"/>
  </w:num>
  <w:num w:numId="54">
    <w:abstractNumId w:val="20"/>
  </w:num>
  <w:num w:numId="55">
    <w:abstractNumId w:val="60"/>
  </w:num>
  <w:num w:numId="56">
    <w:abstractNumId w:val="15"/>
  </w:num>
  <w:num w:numId="57">
    <w:abstractNumId w:val="29"/>
  </w:num>
  <w:num w:numId="58">
    <w:abstractNumId w:val="46"/>
  </w:num>
  <w:num w:numId="59">
    <w:abstractNumId w:val="32"/>
  </w:num>
  <w:num w:numId="60">
    <w:abstractNumId w:val="47"/>
  </w:num>
  <w:num w:numId="61">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1AF2"/>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E00BD"/>
    <w:rsid w:val="001E6341"/>
    <w:rsid w:val="001F0859"/>
    <w:rsid w:val="001F482F"/>
    <w:rsid w:val="001F51CF"/>
    <w:rsid w:val="001F7A97"/>
    <w:rsid w:val="002144D0"/>
    <w:rsid w:val="002145BC"/>
    <w:rsid w:val="002232BC"/>
    <w:rsid w:val="00224E69"/>
    <w:rsid w:val="002329A7"/>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21DA"/>
    <w:rsid w:val="00472E68"/>
    <w:rsid w:val="00477AC8"/>
    <w:rsid w:val="00477CEA"/>
    <w:rsid w:val="0048261D"/>
    <w:rsid w:val="00482B72"/>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5A8C"/>
    <w:rsid w:val="004D173A"/>
    <w:rsid w:val="004D634A"/>
    <w:rsid w:val="004D732E"/>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E3A3F"/>
    <w:rsid w:val="005F1095"/>
    <w:rsid w:val="00610CDC"/>
    <w:rsid w:val="00617491"/>
    <w:rsid w:val="00620C0C"/>
    <w:rsid w:val="00623DE5"/>
    <w:rsid w:val="00633036"/>
    <w:rsid w:val="0064101D"/>
    <w:rsid w:val="0064548A"/>
    <w:rsid w:val="006475C1"/>
    <w:rsid w:val="0065464A"/>
    <w:rsid w:val="00655421"/>
    <w:rsid w:val="006554B1"/>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2144"/>
    <w:rsid w:val="0079592E"/>
    <w:rsid w:val="00795A94"/>
    <w:rsid w:val="007965A0"/>
    <w:rsid w:val="007A07D3"/>
    <w:rsid w:val="007B03D5"/>
    <w:rsid w:val="007B2A05"/>
    <w:rsid w:val="007C014D"/>
    <w:rsid w:val="007C17C3"/>
    <w:rsid w:val="007C2E29"/>
    <w:rsid w:val="007D4D5B"/>
    <w:rsid w:val="007D60A2"/>
    <w:rsid w:val="007E499C"/>
    <w:rsid w:val="007E6E26"/>
    <w:rsid w:val="007F1766"/>
    <w:rsid w:val="007F1D0B"/>
    <w:rsid w:val="007F3AE9"/>
    <w:rsid w:val="007F3D8D"/>
    <w:rsid w:val="007F664F"/>
    <w:rsid w:val="007F6C1D"/>
    <w:rsid w:val="00800F7B"/>
    <w:rsid w:val="00804EDB"/>
    <w:rsid w:val="00813DE1"/>
    <w:rsid w:val="008165BC"/>
    <w:rsid w:val="00816716"/>
    <w:rsid w:val="00820031"/>
    <w:rsid w:val="008214DD"/>
    <w:rsid w:val="00823D0E"/>
    <w:rsid w:val="00824F37"/>
    <w:rsid w:val="008277F3"/>
    <w:rsid w:val="00835BE7"/>
    <w:rsid w:val="00837669"/>
    <w:rsid w:val="00842255"/>
    <w:rsid w:val="0084296D"/>
    <w:rsid w:val="00850FDB"/>
    <w:rsid w:val="00852EF8"/>
    <w:rsid w:val="0085372B"/>
    <w:rsid w:val="00864A45"/>
    <w:rsid w:val="00865B0D"/>
    <w:rsid w:val="008713FF"/>
    <w:rsid w:val="00881634"/>
    <w:rsid w:val="008823E7"/>
    <w:rsid w:val="0089154F"/>
    <w:rsid w:val="008917DC"/>
    <w:rsid w:val="00896732"/>
    <w:rsid w:val="008970D2"/>
    <w:rsid w:val="008A700D"/>
    <w:rsid w:val="008A7746"/>
    <w:rsid w:val="008B395C"/>
    <w:rsid w:val="008B3DBD"/>
    <w:rsid w:val="008B7293"/>
    <w:rsid w:val="008C66C7"/>
    <w:rsid w:val="008C7F79"/>
    <w:rsid w:val="008D39C8"/>
    <w:rsid w:val="008D7F77"/>
    <w:rsid w:val="008E3440"/>
    <w:rsid w:val="008F0666"/>
    <w:rsid w:val="008F44C3"/>
    <w:rsid w:val="00902C4C"/>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4EDC"/>
    <w:rsid w:val="009E0BC3"/>
    <w:rsid w:val="009F1454"/>
    <w:rsid w:val="009F4098"/>
    <w:rsid w:val="009F736D"/>
    <w:rsid w:val="00A013B1"/>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D6D41"/>
    <w:rsid w:val="00AE01BB"/>
    <w:rsid w:val="00AE0568"/>
    <w:rsid w:val="00AE2FFD"/>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1755"/>
    <w:rsid w:val="00BA21E1"/>
    <w:rsid w:val="00BA3333"/>
    <w:rsid w:val="00BA3861"/>
    <w:rsid w:val="00BA5A40"/>
    <w:rsid w:val="00BA77D8"/>
    <w:rsid w:val="00BB3058"/>
    <w:rsid w:val="00BB5AB6"/>
    <w:rsid w:val="00BB5D77"/>
    <w:rsid w:val="00BD21B2"/>
    <w:rsid w:val="00BD4412"/>
    <w:rsid w:val="00BE0537"/>
    <w:rsid w:val="00BE0C40"/>
    <w:rsid w:val="00BE4287"/>
    <w:rsid w:val="00BF1861"/>
    <w:rsid w:val="00BF4DE8"/>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4BE7"/>
    <w:rsid w:val="00D85B07"/>
    <w:rsid w:val="00D85D65"/>
    <w:rsid w:val="00D960EA"/>
    <w:rsid w:val="00D977F4"/>
    <w:rsid w:val="00DB5AB2"/>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6BE7"/>
    <w:rsid w:val="00F57519"/>
    <w:rsid w:val="00F601CE"/>
    <w:rsid w:val="00F622B1"/>
    <w:rsid w:val="00F678F8"/>
    <w:rsid w:val="00F754B2"/>
    <w:rsid w:val="00F754DA"/>
    <w:rsid w:val="00F7679D"/>
    <w:rsid w:val="00F77FDA"/>
    <w:rsid w:val="00F8278E"/>
    <w:rsid w:val="00F93C98"/>
    <w:rsid w:val="00F94CE2"/>
    <w:rsid w:val="00FA3839"/>
    <w:rsid w:val="00FA6F3C"/>
    <w:rsid w:val="00FB0CEB"/>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Akapit z listą BS,Kolorowa lista — akcent 11"/>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Akapit z listą BS Znak,Kolorowa lista — akcent 11 Znak"/>
    <w:link w:val="Akapitzlist"/>
    <w:uiPriority w:val="34"/>
    <w:qFormat/>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7ad24ab5-374f-11ee-a60c-9ec5599dddc1" TargetMode="External"/><Relationship Id="rId4" Type="http://schemas.openxmlformats.org/officeDocument/2006/relationships/settings" Target="settings.xml"/><Relationship Id="rId9" Type="http://schemas.openxmlformats.org/officeDocument/2006/relationships/hyperlink" Target="https://ezamowienia.gov.pl/mp-client/tenders/ocds-148610-7ad24ab5-374f-11ee-a60c-9ec5599dddc1"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3758-AA97-49F6-874F-96E3C576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8850</Words>
  <Characters>53100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4</cp:revision>
  <cp:lastPrinted>2022-06-28T08:36:00Z</cp:lastPrinted>
  <dcterms:created xsi:type="dcterms:W3CDTF">2023-08-10T07:23:00Z</dcterms:created>
  <dcterms:modified xsi:type="dcterms:W3CDTF">2023-08-10T07:42:00Z</dcterms:modified>
</cp:coreProperties>
</file>