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6F1B4A59" w:rsidR="00185257" w:rsidRPr="00744A0E"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346276">
        <w:rPr>
          <w:rFonts w:asciiTheme="minorHAnsi" w:hAnsiTheme="minorHAnsi" w:cstheme="minorHAnsi"/>
          <w:b/>
          <w:bCs/>
          <w:sz w:val="22"/>
          <w:szCs w:val="22"/>
        </w:rPr>
        <w:t xml:space="preserve">Przedmiot zamówienia: </w:t>
      </w:r>
      <w:bookmarkStart w:id="0" w:name="_Hlk74550296"/>
      <w:r w:rsidRPr="00744A0E">
        <w:rPr>
          <w:rFonts w:asciiTheme="minorHAnsi" w:hAnsiTheme="minorHAnsi" w:cstheme="minorHAnsi"/>
          <w:b/>
          <w:sz w:val="22"/>
          <w:szCs w:val="22"/>
        </w:rPr>
        <w:t>„</w:t>
      </w:r>
      <w:r w:rsidR="006F7651" w:rsidRPr="00CC472C">
        <w:rPr>
          <w:rFonts w:asciiTheme="minorHAnsi" w:hAnsiTheme="minorHAnsi" w:cstheme="minorHAnsi"/>
          <w:b/>
          <w:sz w:val="22"/>
          <w:szCs w:val="22"/>
        </w:rPr>
        <w:t>Remont dróg gminnych nr 191313C i 191314C gmina Chodecz</w:t>
      </w:r>
      <w:r w:rsidRPr="00744A0E">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9BF715A"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In.272.1.202</w:t>
      </w:r>
      <w:r w:rsidR="006F7651">
        <w:rPr>
          <w:rFonts w:asciiTheme="minorHAnsi" w:hAnsiTheme="minorHAnsi" w:cstheme="minorHAnsi"/>
          <w:kern w:val="0"/>
          <w:sz w:val="22"/>
          <w:szCs w:val="22"/>
          <w:lang w:eastAsia="en-US"/>
        </w:rPr>
        <w:t>0</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6775C47C"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EA68AF" w:rsidRPr="00EA68AF">
        <w:rPr>
          <w:rFonts w:eastAsia="Calibri" w:cs="Calibri"/>
          <w:b/>
          <w:bCs/>
          <w:color w:val="auto"/>
          <w:lang w:val="pl-PL"/>
        </w:rPr>
        <w:t>1</w:t>
      </w:r>
      <w:r w:rsidR="006F7651">
        <w:rPr>
          <w:rFonts w:eastAsia="Calibri" w:cs="Calibri"/>
          <w:b/>
          <w:bCs/>
          <w:color w:val="auto"/>
          <w:lang w:val="pl-PL"/>
        </w:rPr>
        <w:t>7</w:t>
      </w:r>
      <w:r w:rsidR="00346276" w:rsidRPr="00EA68AF">
        <w:rPr>
          <w:rFonts w:eastAsia="Calibri" w:cs="Calibri"/>
          <w:b/>
          <w:bCs/>
          <w:color w:val="auto"/>
          <w:lang w:val="pl-PL"/>
        </w:rPr>
        <w:t>.06.2021</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17F0BA51"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3E4B8C1"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w:t>
      </w:r>
      <w:r w:rsidR="006F7651" w:rsidRPr="00CC472C">
        <w:rPr>
          <w:rFonts w:asciiTheme="minorHAnsi" w:hAnsiTheme="minorHAnsi" w:cstheme="minorHAnsi"/>
          <w:b/>
          <w:sz w:val="22"/>
          <w:szCs w:val="22"/>
        </w:rPr>
        <w:t>Remont dróg gminnych nr 191313C i 191314C gmina Chodecz</w:t>
      </w:r>
      <w:r w:rsidRPr="00E651D9">
        <w:rPr>
          <w:rFonts w:asciiTheme="minorHAnsi" w:hAnsiTheme="minorHAnsi" w:cstheme="minorHAnsi"/>
          <w:b/>
          <w:sz w:val="22"/>
          <w:szCs w:val="22"/>
        </w:rPr>
        <w:t>.”</w:t>
      </w:r>
    </w:p>
    <w:p w14:paraId="5CC77EF9" w14:textId="218FE350" w:rsidR="006F7651" w:rsidRPr="006F7651" w:rsidRDefault="00744A0E" w:rsidP="006F7651">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6F7651">
        <w:rPr>
          <w:rFonts w:asciiTheme="minorHAnsi" w:hAnsiTheme="minorHAnsi" w:cstheme="minorHAnsi"/>
          <w:sz w:val="22"/>
          <w:szCs w:val="22"/>
        </w:rPr>
        <w:t>Inwestycja prowadzona będzie w ciągu istniejąc</w:t>
      </w:r>
      <w:r w:rsidR="006F7651" w:rsidRPr="006F7651">
        <w:rPr>
          <w:rFonts w:asciiTheme="minorHAnsi" w:hAnsiTheme="minorHAnsi" w:cstheme="minorHAnsi"/>
          <w:sz w:val="22"/>
          <w:szCs w:val="22"/>
        </w:rPr>
        <w:t xml:space="preserve">ych dróg gminnych: </w:t>
      </w:r>
      <w:r w:rsidR="006F7651" w:rsidRPr="006F7651">
        <w:rPr>
          <w:rFonts w:asciiTheme="minorHAnsi" w:hAnsiTheme="minorHAnsi" w:cstheme="minorHAnsi"/>
          <w:b/>
          <w:kern w:val="0"/>
          <w:sz w:val="22"/>
          <w:szCs w:val="22"/>
          <w:lang w:eastAsia="en-US"/>
        </w:rPr>
        <w:t>działki nr: 16; 190; 251/1; 251/2 obręb Lubieniec, działka nr 15 obręb Nowiny, działka nr 23 obręb Wola Adamowa</w:t>
      </w:r>
      <w:r w:rsidR="006F7651">
        <w:rPr>
          <w:rFonts w:asciiTheme="minorHAnsi" w:hAnsiTheme="minorHAnsi" w:cstheme="minorHAnsi"/>
          <w:b/>
          <w:kern w:val="0"/>
          <w:sz w:val="22"/>
          <w:szCs w:val="22"/>
          <w:lang w:eastAsia="en-US"/>
        </w:rPr>
        <w:t>, gmina Chodecz.</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36EF95F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Przedsięwzięcie obejmuje wykonanie remontu dróg gminnych </w:t>
      </w:r>
    </w:p>
    <w:p w14:paraId="2057F69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nr 191313C od km 0+000 do km 5+050,00 odc. </w:t>
      </w:r>
      <w:proofErr w:type="spellStart"/>
      <w:r w:rsidRPr="006F7651">
        <w:rPr>
          <w:rFonts w:asciiTheme="minorHAnsi" w:hAnsiTheme="minorHAnsi" w:cstheme="minorHAnsi"/>
          <w:sz w:val="22"/>
          <w:szCs w:val="22"/>
        </w:rPr>
        <w:t>dł</w:t>
      </w:r>
      <w:proofErr w:type="spellEnd"/>
      <w:r w:rsidRPr="006F7651">
        <w:rPr>
          <w:rFonts w:asciiTheme="minorHAnsi" w:hAnsiTheme="minorHAnsi" w:cstheme="minorHAnsi"/>
          <w:sz w:val="22"/>
          <w:szCs w:val="22"/>
        </w:rPr>
        <w:t xml:space="preserve">  5.050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w:t>
      </w:r>
    </w:p>
    <w:p w14:paraId="699BC45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nr 191314C od km 0+000 do km 1+454,40 odc. dł. 1.454,4 </w:t>
      </w:r>
      <w:proofErr w:type="spellStart"/>
      <w:r w:rsidRPr="006F7651">
        <w:rPr>
          <w:rFonts w:asciiTheme="minorHAnsi" w:hAnsiTheme="minorHAnsi" w:cstheme="minorHAnsi"/>
          <w:sz w:val="22"/>
          <w:szCs w:val="22"/>
        </w:rPr>
        <w:t>mb</w:t>
      </w:r>
      <w:proofErr w:type="spellEnd"/>
    </w:p>
    <w:p w14:paraId="17C71984"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Projektowane do remontu odcinki dróg gminnych przebiegają przez osady zamieszkałe i tereny rolnicze umożliwiając użytkownikom lepszą i wygodniejszą komunikację z pozostałą częścią gminy.</w:t>
      </w:r>
    </w:p>
    <w:p w14:paraId="4C2A985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19244FED"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STAN ISTNIEJĄCY</w:t>
      </w:r>
    </w:p>
    <w:p w14:paraId="211B01A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Jezdnia dróg jest usytuowana w pasie drogowym o szerokości od 5 m do 16 m. Korona drogi posiada jedną jezdnię o nawierzchni utwardzonej. </w:t>
      </w:r>
    </w:p>
    <w:p w14:paraId="241B333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Dotychczasowy sposób wykorzystania dróg  jako dróg gminnych nie ulegnie zmianie. Wzdłuż granicy pasa drogowego na fragmentach rosną drzewa i zakrzaczenia. Nie przewiduje się usunięć drzew. Do nieruchomości zlokalizowanych przy drogach istnieją zjazdy, niektóre utwardzone różnymi materiałami, wykonane przez właścicieli przyległych posesji. Odwodnienie jezdni drogi odbywa się za pomocą spadków podłużnych i poprzecznych na istniejące pobocza gruntowe.</w:t>
      </w:r>
    </w:p>
    <w:p w14:paraId="4289A79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lastRenderedPageBreak/>
        <w:t>Obecne parametry drogi:</w:t>
      </w:r>
    </w:p>
    <w:p w14:paraId="35F026ED"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nr 191313C</w:t>
      </w:r>
    </w:p>
    <w:p w14:paraId="5912135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pas drogowy o szerokości od 5 m do 16 m,</w:t>
      </w:r>
    </w:p>
    <w:p w14:paraId="257D9248"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jezdnia o szerokości  5,0m</w:t>
      </w:r>
    </w:p>
    <w:p w14:paraId="5D61902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nawierzchnia – utwardzona</w:t>
      </w:r>
    </w:p>
    <w:p w14:paraId="02E4D4C9"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liczne zakrzaczenia</w:t>
      </w:r>
    </w:p>
    <w:p w14:paraId="1FC3CC9B"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nr 191314C </w:t>
      </w:r>
    </w:p>
    <w:p w14:paraId="358D28E2"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pas drogowy o szerokości od 5 m do 10 m,</w:t>
      </w:r>
    </w:p>
    <w:p w14:paraId="0366370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jezdnia o szerokości  4,0m</w:t>
      </w:r>
    </w:p>
    <w:p w14:paraId="0359C19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nawierzchnia – utwardzona</w:t>
      </w:r>
    </w:p>
    <w:p w14:paraId="2565751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liczne zakrzaczenia</w:t>
      </w:r>
    </w:p>
    <w:p w14:paraId="404A7B2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04645C8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Założenia projektowe:</w:t>
      </w:r>
    </w:p>
    <w:p w14:paraId="193F0941"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przekrój dla klasy dróg lokalnych – L, </w:t>
      </w:r>
    </w:p>
    <w:p w14:paraId="2252C46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prędkość projektowa – 30 km/h, </w:t>
      </w:r>
    </w:p>
    <w:p w14:paraId="5C456953"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szerokość jezdni– 4 - 5 m, </w:t>
      </w:r>
    </w:p>
    <w:p w14:paraId="6DE6810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spadek poprzeczny jezdni – jednostronny, daszkowy  2-3 %, </w:t>
      </w:r>
    </w:p>
    <w:p w14:paraId="3EF198C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długość projektowanego odcinka drogi – 5050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w:t>
      </w:r>
    </w:p>
    <w:p w14:paraId="557EE80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długość projektowanego odcinka drogi – 1454,4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w:t>
      </w:r>
    </w:p>
    <w:p w14:paraId="0098374D"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6A8E47E2"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Zaprojektowano jedną jezdnię o jednym pasie ruchu, przeznaczonym do ruchu w obu kierunkach przekrój 1x1 o szer. 4m - nr 191314C od km 0+000 do km 1+454,40 odc. dł. 1.454,4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w:t>
      </w:r>
    </w:p>
    <w:p w14:paraId="6F688AC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18A2071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Zakresem remontu objęto:</w:t>
      </w:r>
    </w:p>
    <w:p w14:paraId="1AF783D5"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b/>
          <w:sz w:val="22"/>
          <w:szCs w:val="22"/>
        </w:rPr>
      </w:pPr>
      <w:r w:rsidRPr="006F7651">
        <w:rPr>
          <w:rFonts w:asciiTheme="minorHAnsi" w:hAnsiTheme="minorHAnsi" w:cstheme="minorHAnsi"/>
          <w:b/>
          <w:sz w:val="22"/>
          <w:szCs w:val="22"/>
        </w:rPr>
        <w:t>Droga:</w:t>
      </w:r>
    </w:p>
    <w:p w14:paraId="248940D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nr 191313C od km 0+000 do km 5+050,00 odc. </w:t>
      </w:r>
      <w:proofErr w:type="spellStart"/>
      <w:r w:rsidRPr="006F7651">
        <w:rPr>
          <w:rFonts w:asciiTheme="minorHAnsi" w:hAnsiTheme="minorHAnsi" w:cstheme="minorHAnsi"/>
          <w:sz w:val="22"/>
          <w:szCs w:val="22"/>
        </w:rPr>
        <w:t>dł</w:t>
      </w:r>
      <w:proofErr w:type="spellEnd"/>
      <w:r w:rsidRPr="006F7651">
        <w:rPr>
          <w:rFonts w:asciiTheme="minorHAnsi" w:hAnsiTheme="minorHAnsi" w:cstheme="minorHAnsi"/>
          <w:sz w:val="22"/>
          <w:szCs w:val="22"/>
        </w:rPr>
        <w:t xml:space="preserve">  5.050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szer. 5m</w:t>
      </w:r>
    </w:p>
    <w:p w14:paraId="408A7138"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nr 191314C od km 0+000 do km 1+454,40 odc. dł. 1.454,4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szer. 4m</w:t>
      </w:r>
    </w:p>
    <w:p w14:paraId="1A2652C1"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ułożenie masy – beton asfaltowy AC11W (ścieralna) gr. 5 cm,</w:t>
      </w:r>
    </w:p>
    <w:p w14:paraId="4B416EA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utwardzenie poboczy kruszywem kamiennym gr. 10 cm.</w:t>
      </w:r>
    </w:p>
    <w:p w14:paraId="28400EB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3C82100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b/>
          <w:sz w:val="22"/>
          <w:szCs w:val="22"/>
        </w:rPr>
      </w:pPr>
      <w:r w:rsidRPr="006F7651">
        <w:rPr>
          <w:rFonts w:asciiTheme="minorHAnsi" w:hAnsiTheme="minorHAnsi" w:cstheme="minorHAnsi"/>
          <w:b/>
          <w:sz w:val="22"/>
          <w:szCs w:val="22"/>
        </w:rPr>
        <w:t>Chodnik:</w:t>
      </w:r>
    </w:p>
    <w:p w14:paraId="64AC9156"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Układ chodników w planie stanowią odcinki proste połączone łukami. </w:t>
      </w:r>
    </w:p>
    <w:p w14:paraId="4B507911"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szerokości od km 0+000,00 do km 0+098,00 – 2,0m, </w:t>
      </w:r>
    </w:p>
    <w:p w14:paraId="69415F6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(strona prawa dł. 98mb), </w:t>
      </w:r>
    </w:p>
    <w:p w14:paraId="0BF7128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szerokości od km 0+021,00 do km 0+047,00 – 2,00m, </w:t>
      </w:r>
    </w:p>
    <w:p w14:paraId="208D5E91"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(strona lewa dł. 26mb), </w:t>
      </w:r>
    </w:p>
    <w:p w14:paraId="6A719EA4"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łączna dł. chodnika wynosi 124,00 </w:t>
      </w:r>
      <w:proofErr w:type="spellStart"/>
      <w:r w:rsidRPr="006F7651">
        <w:rPr>
          <w:rFonts w:asciiTheme="minorHAnsi" w:hAnsiTheme="minorHAnsi" w:cstheme="minorHAnsi"/>
          <w:sz w:val="22"/>
          <w:szCs w:val="22"/>
        </w:rPr>
        <w:t>mb</w:t>
      </w:r>
      <w:proofErr w:type="spellEnd"/>
      <w:r w:rsidRPr="006F7651">
        <w:rPr>
          <w:rFonts w:asciiTheme="minorHAnsi" w:hAnsiTheme="minorHAnsi" w:cstheme="minorHAnsi"/>
          <w:sz w:val="22"/>
          <w:szCs w:val="22"/>
        </w:rPr>
        <w:t xml:space="preserve"> </w:t>
      </w:r>
    </w:p>
    <w:p w14:paraId="23DFDBB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 </w:t>
      </w:r>
    </w:p>
    <w:p w14:paraId="5DFD933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b/>
          <w:sz w:val="22"/>
          <w:szCs w:val="22"/>
        </w:rPr>
        <w:t>Peron przystankowy</w:t>
      </w:r>
      <w:r w:rsidRPr="006F7651">
        <w:rPr>
          <w:rFonts w:asciiTheme="minorHAnsi" w:hAnsiTheme="minorHAnsi" w:cstheme="minorHAnsi"/>
          <w:sz w:val="22"/>
          <w:szCs w:val="22"/>
        </w:rPr>
        <w:t>: - 1 szt. (lokalizacja km 2+429):</w:t>
      </w:r>
    </w:p>
    <w:p w14:paraId="640474B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Założenia projektowe:</w:t>
      </w:r>
    </w:p>
    <w:p w14:paraId="19FFBB33"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szerokość peronu - 3 m</w:t>
      </w:r>
    </w:p>
    <w:p w14:paraId="02BD5804"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długość peronu  - 5 m</w:t>
      </w:r>
    </w:p>
    <w:p w14:paraId="34E645A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spadek poprzeczny jednostronny - 2 %</w:t>
      </w:r>
    </w:p>
    <w:p w14:paraId="010BEED9"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41D69BA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b/>
          <w:sz w:val="22"/>
          <w:szCs w:val="22"/>
        </w:rPr>
      </w:pPr>
      <w:r w:rsidRPr="006F7651">
        <w:rPr>
          <w:rFonts w:asciiTheme="minorHAnsi" w:hAnsiTheme="minorHAnsi" w:cstheme="minorHAnsi"/>
          <w:b/>
          <w:sz w:val="22"/>
          <w:szCs w:val="22"/>
        </w:rPr>
        <w:t>Odwodnienie</w:t>
      </w:r>
    </w:p>
    <w:p w14:paraId="611E1E93"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Zaprojektowano odwodnienie przy pomocy spadków poprzecznych nawierzchni jezdni na pobocze gruntowe i do istniejących rowów .</w:t>
      </w:r>
    </w:p>
    <w:p w14:paraId="5B87C89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Rowy:</w:t>
      </w:r>
    </w:p>
    <w:p w14:paraId="032724D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Strona prawa od km 2+474,00 do km 5+050,00 dł. 7524 </w:t>
      </w:r>
      <w:proofErr w:type="spellStart"/>
      <w:r w:rsidRPr="006F7651">
        <w:rPr>
          <w:rFonts w:asciiTheme="minorHAnsi" w:hAnsiTheme="minorHAnsi" w:cstheme="minorHAnsi"/>
          <w:sz w:val="22"/>
          <w:szCs w:val="22"/>
        </w:rPr>
        <w:t>mb</w:t>
      </w:r>
      <w:proofErr w:type="spellEnd"/>
    </w:p>
    <w:p w14:paraId="0FBE349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Strona lewa od km 2+474,00 do km 5+050,00 dł. 7524 </w:t>
      </w:r>
      <w:proofErr w:type="spellStart"/>
      <w:r w:rsidRPr="006F7651">
        <w:rPr>
          <w:rFonts w:asciiTheme="minorHAnsi" w:hAnsiTheme="minorHAnsi" w:cstheme="minorHAnsi"/>
          <w:sz w:val="22"/>
          <w:szCs w:val="22"/>
        </w:rPr>
        <w:t>mb</w:t>
      </w:r>
      <w:proofErr w:type="spellEnd"/>
    </w:p>
    <w:p w14:paraId="0EF43377"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Razem 15.048mb</w:t>
      </w:r>
    </w:p>
    <w:p w14:paraId="496725F6" w14:textId="40B8E38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Przepusty przeznaczone do oczyszczenia</w:t>
      </w:r>
      <w:r>
        <w:rPr>
          <w:rFonts w:asciiTheme="minorHAnsi" w:hAnsiTheme="minorHAnsi" w:cstheme="minorHAnsi"/>
          <w:sz w:val="22"/>
          <w:szCs w:val="22"/>
        </w:rPr>
        <w:t>:</w:t>
      </w:r>
    </w:p>
    <w:p w14:paraId="15281E05"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lastRenderedPageBreak/>
        <w:t>km 0+409,00</w:t>
      </w:r>
    </w:p>
    <w:p w14:paraId="3F145C84"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km 2+070,00</w:t>
      </w:r>
    </w:p>
    <w:p w14:paraId="0B2DFE5C"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km 2+685,00</w:t>
      </w:r>
    </w:p>
    <w:p w14:paraId="7E83D10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km 3+368,00</w:t>
      </w:r>
    </w:p>
    <w:p w14:paraId="21F80AC9"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km 3+895,00</w:t>
      </w:r>
    </w:p>
    <w:p w14:paraId="43C28EDF"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km 4+498,00</w:t>
      </w:r>
    </w:p>
    <w:p w14:paraId="19EFD04A"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p>
    <w:p w14:paraId="2016611B"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b/>
          <w:sz w:val="22"/>
          <w:szCs w:val="22"/>
        </w:rPr>
      </w:pPr>
      <w:r w:rsidRPr="006F7651">
        <w:rPr>
          <w:rFonts w:asciiTheme="minorHAnsi" w:hAnsiTheme="minorHAnsi" w:cstheme="minorHAnsi"/>
          <w:b/>
          <w:sz w:val="22"/>
          <w:szCs w:val="22"/>
        </w:rPr>
        <w:t>Pozostały zakres prac w ramach projektu:</w:t>
      </w:r>
    </w:p>
    <w:p w14:paraId="15980175"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1) liczba przebudowanych skrzyżowań – 2 szt.,</w:t>
      </w:r>
    </w:p>
    <w:p w14:paraId="037CA546"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2) zadanie obejmuje dodatkowe rozwiązania polegające na:</w:t>
      </w:r>
    </w:p>
    <w:p w14:paraId="5FDD11A5"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budowę sygnalizacji świetlnej na skrzyżowaniu - znak B-20, C-9,</w:t>
      </w:r>
    </w:p>
    <w:p w14:paraId="3EFACF04"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budowę oznakowania aktywnego na przejściu dla pieszych - Znaki D-16,</w:t>
      </w:r>
    </w:p>
    <w:p w14:paraId="36E4B1C2"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3) liczba przejść dla pieszych uwzględniających rozwiązania spełniające wymagania określone w wytycznych w stosunku do klasy oświetlenia i zasady doboru rozwiązania oświetleniowego – 1 szt. </w:t>
      </w:r>
    </w:p>
    <w:p w14:paraId="7E842921"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xml:space="preserve">4) w projekcie zastosowano następujące rozwiązania w zakresie zarządzania prędkością: </w:t>
      </w:r>
    </w:p>
    <w:p w14:paraId="2F2AC609"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znak B-33,</w:t>
      </w:r>
    </w:p>
    <w:p w14:paraId="16FC023E"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 środki uspokojenia ruchu w obrębie skrzyżowań - skrzyżowanie skanalizowane.</w:t>
      </w:r>
    </w:p>
    <w:p w14:paraId="5CEEB620" w14:textId="77777777" w:rsidR="006F7651" w:rsidRPr="006F7651" w:rsidRDefault="006F7651" w:rsidP="006F7651">
      <w:pPr>
        <w:widowControl w:val="0"/>
        <w:autoSpaceDE w:val="0"/>
        <w:autoSpaceDN w:val="0"/>
        <w:adjustRightInd w:val="0"/>
        <w:spacing w:after="0" w:line="240" w:lineRule="auto"/>
        <w:jc w:val="both"/>
        <w:rPr>
          <w:rFonts w:asciiTheme="minorHAnsi" w:hAnsiTheme="minorHAnsi" w:cstheme="minorHAnsi"/>
          <w:sz w:val="22"/>
          <w:szCs w:val="22"/>
        </w:rPr>
      </w:pPr>
      <w:r w:rsidRPr="006F7651">
        <w:rPr>
          <w:rFonts w:asciiTheme="minorHAnsi" w:hAnsiTheme="minorHAnsi" w:cstheme="minorHAnsi"/>
          <w:sz w:val="22"/>
          <w:szCs w:val="22"/>
        </w:rPr>
        <w:t>5) ścieżka rowerowa w dwóch kierunkach ruchu dł. 5.050mb po stronie prawej.</w:t>
      </w:r>
    </w:p>
    <w:p w14:paraId="3BF7F143"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36408BFC"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EA68AF" w:rsidRPr="00EA68AF">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EA68AF" w:rsidRPr="00EA68AF">
        <w:rPr>
          <w:rFonts w:asciiTheme="minorHAnsi" w:hAnsiTheme="minorHAnsi" w:cstheme="minorHAnsi"/>
          <w:b/>
          <w:bCs/>
          <w:sz w:val="22"/>
          <w:szCs w:val="22"/>
        </w:rPr>
        <w:t>10</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t>
      </w:r>
      <w:r w:rsidR="006F7651">
        <w:rPr>
          <w:rFonts w:asciiTheme="minorHAnsi" w:hAnsiTheme="minorHAnsi" w:cstheme="minorHAnsi"/>
          <w:sz w:val="22"/>
          <w:szCs w:val="22"/>
        </w:rPr>
        <w:t xml:space="preserve">organizacji ruchu stanowiącej </w:t>
      </w:r>
      <w:r w:rsidR="006F7651" w:rsidRPr="006F7651">
        <w:rPr>
          <w:rFonts w:asciiTheme="minorHAnsi" w:hAnsiTheme="minorHAnsi" w:cstheme="minorHAnsi"/>
          <w:b/>
          <w:sz w:val="22"/>
          <w:szCs w:val="22"/>
        </w:rPr>
        <w:t>Załącznik nr 12</w:t>
      </w:r>
      <w:r w:rsidR="006F7651">
        <w:rPr>
          <w:rFonts w:asciiTheme="minorHAnsi" w:hAnsiTheme="minorHAnsi" w:cstheme="minorHAnsi"/>
          <w:sz w:val="22"/>
          <w:szCs w:val="22"/>
        </w:rPr>
        <w:t xml:space="preserve"> do SWZ oraz </w:t>
      </w:r>
      <w:r w:rsidRPr="00EA68AF">
        <w:rPr>
          <w:rFonts w:asciiTheme="minorHAnsi" w:hAnsiTheme="minorHAnsi" w:cstheme="minorHAnsi"/>
          <w:sz w:val="22"/>
          <w:szCs w:val="22"/>
        </w:rPr>
        <w:t xml:space="preserve">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 xml:space="preserve">11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4E63ADB5"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oznakowania terenu budowy, m.in. umieszczenie tablicy informacyjnej wynikającej z ustawy Prawo budowlane, oraz </w:t>
      </w:r>
      <w:r w:rsidR="005A290F">
        <w:rPr>
          <w:rFonts w:asciiTheme="minorHAnsi" w:hAnsiTheme="minorHAnsi" w:cstheme="minorHAnsi"/>
          <w:sz w:val="22"/>
          <w:szCs w:val="22"/>
        </w:rPr>
        <w:t>6</w:t>
      </w:r>
      <w:bookmarkStart w:id="1" w:name="_GoBack"/>
      <w:bookmarkEnd w:id="1"/>
      <w:r w:rsidRPr="00E651D9">
        <w:rPr>
          <w:rFonts w:asciiTheme="minorHAnsi" w:hAnsiTheme="minorHAnsi" w:cstheme="minorHAnsi"/>
          <w:sz w:val="22"/>
          <w:szCs w:val="22"/>
        </w:rPr>
        <w:t xml:space="preserve">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6F7651">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47A7EDF0"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6F7651">
        <w:rPr>
          <w:rFonts w:asciiTheme="minorHAnsi" w:hAnsiTheme="minorHAnsi" w:cstheme="minorHAnsi"/>
          <w:b/>
          <w:spacing w:val="0"/>
          <w:kern w:val="0"/>
          <w:sz w:val="22"/>
          <w:szCs w:val="22"/>
        </w:rPr>
        <w:t>4</w:t>
      </w:r>
      <w:r w:rsidR="00356F0D" w:rsidRPr="00744A0E">
        <w:rPr>
          <w:rFonts w:asciiTheme="minorHAnsi" w:hAnsiTheme="minorHAnsi" w:cstheme="minorHAnsi"/>
          <w:b/>
          <w:spacing w:val="0"/>
          <w:kern w:val="0"/>
          <w:sz w:val="22"/>
          <w:szCs w:val="22"/>
        </w:rPr>
        <w:t xml:space="preserve"> miesięcy od dnia zawarcia umowy.</w:t>
      </w:r>
    </w:p>
    <w:p w14:paraId="1A51AC82" w14:textId="7ED1C9FA" w:rsidR="00C60E16" w:rsidRPr="006F7651"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513E884F" w14:textId="77777777" w:rsidR="006F7651" w:rsidRPr="006F7651" w:rsidRDefault="006F7651" w:rsidP="006F7651">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lastRenderedPageBreak/>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43E3584A"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4D634A" w:rsidRPr="004D634A">
        <w:rPr>
          <w:rFonts w:asciiTheme="minorHAnsi" w:hAnsiTheme="minorHAnsi" w:cstheme="minorHAnsi"/>
          <w:b/>
          <w:color w:val="000000" w:themeColor="text1"/>
          <w:spacing w:val="0"/>
          <w:kern w:val="0"/>
          <w:sz w:val="22"/>
          <w:szCs w:val="22"/>
          <w:u w:val="single"/>
        </w:rPr>
        <w:t xml:space="preserve">2 </w:t>
      </w:r>
      <w:r w:rsidR="004D634A">
        <w:rPr>
          <w:rFonts w:asciiTheme="minorHAnsi" w:hAnsiTheme="minorHAnsi" w:cstheme="minorHAnsi"/>
          <w:b/>
          <w:color w:val="000000" w:themeColor="text1"/>
          <w:spacing w:val="0"/>
          <w:kern w:val="0"/>
          <w:sz w:val="22"/>
          <w:szCs w:val="22"/>
          <w:u w:val="single"/>
        </w:rPr>
        <w:t>sierpnia</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2021</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lastRenderedPageBreak/>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2115FE21" w14:textId="77777777" w:rsidR="00560854" w:rsidRPr="00560854" w:rsidRDefault="003D180B" w:rsidP="0056085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W przypadku wspólnego ubiegania s</w:t>
      </w:r>
      <w:r w:rsidRPr="00560854">
        <w:rPr>
          <w:rFonts w:asciiTheme="minorHAnsi" w:hAnsiTheme="minorHAnsi" w:cstheme="minorHAnsi"/>
          <w:b/>
          <w:spacing w:val="0"/>
          <w:kern w:val="0"/>
          <w:sz w:val="22"/>
          <w:szCs w:val="22"/>
        </w:rPr>
        <w:t xml:space="preserve">ię o zamówienie przez Wykonawców, oświadczenie </w:t>
      </w:r>
      <w:r w:rsidR="00560854" w:rsidRPr="00560854">
        <w:rPr>
          <w:rFonts w:asciiTheme="minorHAnsi" w:hAnsiTheme="minorHAnsi" w:cstheme="minorHAnsi"/>
          <w:b/>
          <w:spacing w:val="0"/>
          <w:kern w:val="0"/>
          <w:sz w:val="22"/>
          <w:szCs w:val="22"/>
        </w:rPr>
        <w:t>to</w:t>
      </w:r>
      <w:r w:rsidRPr="00560854">
        <w:rPr>
          <w:rFonts w:asciiTheme="minorHAnsi" w:hAnsiTheme="minorHAnsi" w:cstheme="minorHAnsi"/>
          <w:b/>
          <w:spacing w:val="0"/>
          <w:kern w:val="0"/>
          <w:sz w:val="22"/>
          <w:szCs w:val="22"/>
        </w:rPr>
        <w:t xml:space="preserve"> składa każdy z Wykonawców.</w:t>
      </w:r>
    </w:p>
    <w:p w14:paraId="1CC4819A" w14:textId="72DB7376"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5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A0AC632"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4D634A" w:rsidRPr="004D634A">
        <w:rPr>
          <w:rFonts w:asciiTheme="minorHAnsi" w:hAnsiTheme="minorHAnsi" w:cstheme="minorHAnsi"/>
          <w:b/>
          <w:spacing w:val="0"/>
          <w:kern w:val="0"/>
          <w:sz w:val="22"/>
          <w:szCs w:val="22"/>
          <w:u w:val="single"/>
        </w:rPr>
        <w:t xml:space="preserve">2 lipca </w:t>
      </w:r>
      <w:r w:rsidR="009936B6" w:rsidRPr="004D634A">
        <w:rPr>
          <w:rFonts w:asciiTheme="minorHAnsi" w:hAnsiTheme="minorHAnsi" w:cstheme="minorHAnsi"/>
          <w:b/>
          <w:spacing w:val="0"/>
          <w:kern w:val="0"/>
          <w:sz w:val="22"/>
          <w:szCs w:val="22"/>
          <w:u w:val="single"/>
        </w:rPr>
        <w:t>2021 r.</w:t>
      </w:r>
      <w:r w:rsidRPr="004D634A">
        <w:rPr>
          <w:rFonts w:asciiTheme="minorHAnsi" w:hAnsiTheme="minorHAnsi" w:cstheme="minorHAnsi"/>
          <w:b/>
          <w:spacing w:val="0"/>
          <w:kern w:val="0"/>
          <w:sz w:val="22"/>
          <w:szCs w:val="22"/>
          <w:u w:val="single"/>
        </w:rPr>
        <w:t xml:space="preserve">, do godz. </w:t>
      </w:r>
      <w:r w:rsidR="009936B6" w:rsidRPr="004D634A">
        <w:rPr>
          <w:rFonts w:asciiTheme="minorHAnsi" w:hAnsiTheme="minorHAnsi" w:cstheme="minorHAnsi"/>
          <w:b/>
          <w:spacing w:val="0"/>
          <w:kern w:val="0"/>
          <w:sz w:val="22"/>
          <w:szCs w:val="22"/>
          <w:u w:val="single"/>
        </w:rPr>
        <w:t>10:00.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4A5443B5"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4D634A" w:rsidRPr="004D634A">
        <w:rPr>
          <w:rFonts w:asciiTheme="minorHAnsi" w:hAnsiTheme="minorHAnsi" w:cstheme="minorHAnsi"/>
          <w:b/>
          <w:spacing w:val="0"/>
          <w:kern w:val="0"/>
          <w:sz w:val="22"/>
          <w:szCs w:val="22"/>
          <w:u w:val="single"/>
        </w:rPr>
        <w:t>2 lipca</w:t>
      </w:r>
      <w:r w:rsidR="009936B6" w:rsidRPr="004D634A">
        <w:rPr>
          <w:rFonts w:asciiTheme="minorHAnsi" w:hAnsiTheme="minorHAnsi" w:cstheme="minorHAnsi"/>
          <w:b/>
          <w:spacing w:val="0"/>
          <w:kern w:val="0"/>
          <w:sz w:val="22"/>
          <w:szCs w:val="22"/>
          <w:u w:val="single"/>
        </w:rPr>
        <w:t xml:space="preserve"> 2021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9936B6" w:rsidRPr="004D634A">
        <w:rPr>
          <w:rFonts w:asciiTheme="minorHAnsi" w:hAnsiTheme="minorHAnsi" w:cstheme="minorHAnsi"/>
          <w:b/>
          <w:spacing w:val="0"/>
          <w:kern w:val="0"/>
          <w:sz w:val="22"/>
          <w:szCs w:val="22"/>
          <w:u w:val="single"/>
        </w:rPr>
        <w:t>1</w:t>
      </w:r>
      <w:r w:rsidR="006F7651">
        <w:rPr>
          <w:rFonts w:asciiTheme="minorHAnsi" w:hAnsiTheme="minorHAnsi" w:cstheme="minorHAnsi"/>
          <w:b/>
          <w:spacing w:val="0"/>
          <w:kern w:val="0"/>
          <w:sz w:val="22"/>
          <w:szCs w:val="22"/>
          <w:u w:val="single"/>
        </w:rPr>
        <w:t>3</w:t>
      </w:r>
      <w:r w:rsidR="009936B6" w:rsidRPr="004D634A">
        <w:rPr>
          <w:rFonts w:asciiTheme="minorHAnsi" w:hAnsiTheme="minorHAnsi" w:cstheme="minorHAnsi"/>
          <w:b/>
          <w:spacing w:val="0"/>
          <w:kern w:val="0"/>
          <w:sz w:val="22"/>
          <w:szCs w:val="22"/>
          <w:u w:val="single"/>
        </w:rPr>
        <w:t>:00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77ABED60" w14:textId="77777777" w:rsidR="004D634A" w:rsidRPr="00744A0E" w:rsidRDefault="004D634A"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2BD77E8F"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0B0A1DD4"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38D674F" w14:textId="02DF4C0F" w:rsidR="003F5828" w:rsidRPr="0073755E"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 xml:space="preserve">cywilnej w zakresie prowadzonej działalności związanej z przedmiotem zamówienia na sumę gwarancyjną min. </w:t>
      </w:r>
      <w:r w:rsidR="006F7651">
        <w:rPr>
          <w:rFonts w:asciiTheme="minorHAnsi" w:hAnsiTheme="minorHAnsi" w:cstheme="minorHAnsi"/>
          <w:sz w:val="22"/>
          <w:szCs w:val="22"/>
        </w:rPr>
        <w:t>1 0</w:t>
      </w:r>
      <w:r w:rsidRPr="0073755E">
        <w:rPr>
          <w:rFonts w:asciiTheme="minorHAnsi" w:hAnsiTheme="minorHAnsi" w:cstheme="minorHAnsi"/>
          <w:sz w:val="22"/>
          <w:szCs w:val="22"/>
        </w:rPr>
        <w:t>00 000,00 zł,</w:t>
      </w:r>
    </w:p>
    <w:p w14:paraId="1EBB7E6F" w14:textId="212FAC36" w:rsidR="003F5828" w:rsidRPr="0073755E" w:rsidRDefault="003F5828" w:rsidP="00531217">
      <w:pPr>
        <w:pStyle w:val="Default"/>
        <w:numPr>
          <w:ilvl w:val="0"/>
          <w:numId w:val="33"/>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2 roboty budowlane w zakresie budowy, przebudowy lub remontu dróg o wartości min.</w:t>
      </w:r>
      <w:r w:rsidR="006F7651">
        <w:rPr>
          <w:rFonts w:asciiTheme="minorHAnsi" w:eastAsia="Calibri" w:hAnsiTheme="minorHAnsi" w:cstheme="minorHAnsi"/>
          <w:sz w:val="22"/>
          <w:szCs w:val="22"/>
        </w:rPr>
        <w:t>1 0</w:t>
      </w:r>
      <w:r w:rsidRPr="0073755E">
        <w:rPr>
          <w:rFonts w:asciiTheme="minorHAnsi" w:hAnsiTheme="minorHAnsi" w:cstheme="minorHAnsi"/>
          <w:sz w:val="22"/>
          <w:szCs w:val="22"/>
        </w:rPr>
        <w:t xml:space="preserve">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68B070A1"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lastRenderedPageBreak/>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3CEE5E3F"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1FA26D6E" w14:textId="77777777" w:rsidR="006F7651" w:rsidRPr="00ED6165" w:rsidRDefault="006F7651" w:rsidP="006F7651">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77777777"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Pr="005D4CA1">
        <w:rPr>
          <w:rFonts w:asciiTheme="minorHAnsi" w:hAnsiTheme="minorHAnsi" w:cstheme="minorHAnsi"/>
          <w:color w:val="000000"/>
          <w:kern w:val="0"/>
          <w:sz w:val="22"/>
          <w:szCs w:val="22"/>
          <w:lang w:eastAsia="en-US"/>
        </w:rPr>
        <w:lastRenderedPageBreak/>
        <w:t>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drogowi wykonujący roboty nawierzchniowe – operatorzy rozkładarki mas bitumicznych. </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6F7651">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w:t>
      </w:r>
      <w:r w:rsidRPr="00974BE3">
        <w:rPr>
          <w:rFonts w:asciiTheme="minorHAnsi" w:hAnsiTheme="minorHAnsi" w:cstheme="minorHAnsi"/>
          <w:kern w:val="0"/>
          <w:sz w:val="22"/>
          <w:szCs w:val="22"/>
          <w:lang w:eastAsia="en-US"/>
        </w:rPr>
        <w:lastRenderedPageBreak/>
        <w:t xml:space="preserve">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FBDCC9E" w14:textId="6C4A5D8B"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134E557E"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30D28CC0"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5E7764D5"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E306B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1E73CE83"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E306B6">
        <w:rPr>
          <w:rFonts w:asciiTheme="minorHAnsi" w:hAnsiTheme="minorHAnsi" w:cstheme="minorHAnsi"/>
          <w:spacing w:val="0"/>
          <w:kern w:val="0"/>
          <w:sz w:val="22"/>
          <w:szCs w:val="22"/>
          <w:lang w:eastAsia="ar-SA"/>
        </w:rPr>
        <w:t>8</w:t>
      </w:r>
      <w:r w:rsidRPr="00744A0E">
        <w:rPr>
          <w:rFonts w:asciiTheme="minorHAnsi" w:hAnsiTheme="minorHAnsi" w:cstheme="minorHAnsi"/>
          <w:spacing w:val="0"/>
          <w:kern w:val="0"/>
          <w:sz w:val="22"/>
          <w:szCs w:val="22"/>
          <w:lang w:eastAsia="ar-SA"/>
        </w:rPr>
        <w:t>.</w:t>
      </w:r>
    </w:p>
    <w:p w14:paraId="5BC63E6E" w14:textId="3B8BD25D"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9;</w:t>
      </w:r>
    </w:p>
    <w:p w14:paraId="7E1212A6" w14:textId="011D4956"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10;</w:t>
      </w:r>
    </w:p>
    <w:p w14:paraId="3899E8A9" w14:textId="7B9DF24C"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11.</w:t>
      </w:r>
    </w:p>
    <w:p w14:paraId="75653AA1" w14:textId="1D9F6522" w:rsidR="006F7651" w:rsidRPr="00744A0E" w:rsidRDefault="006F7651"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12.</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29E9" w14:textId="77777777" w:rsidR="00BE719F" w:rsidRDefault="00BE719F" w:rsidP="00255A38">
      <w:pPr>
        <w:spacing w:after="0" w:line="240" w:lineRule="auto"/>
      </w:pPr>
      <w:r>
        <w:separator/>
      </w:r>
    </w:p>
  </w:endnote>
  <w:endnote w:type="continuationSeparator" w:id="0">
    <w:p w14:paraId="0570399E" w14:textId="77777777" w:rsidR="00BE719F" w:rsidRDefault="00BE719F"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A660" w14:textId="77777777" w:rsidR="00BE719F" w:rsidRDefault="00BE719F" w:rsidP="00255A38">
      <w:pPr>
        <w:spacing w:after="0" w:line="240" w:lineRule="auto"/>
      </w:pPr>
      <w:r>
        <w:separator/>
      </w:r>
    </w:p>
  </w:footnote>
  <w:footnote w:type="continuationSeparator" w:id="0">
    <w:p w14:paraId="3E3A8881" w14:textId="77777777" w:rsidR="00BE719F" w:rsidRDefault="00BE719F"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290F"/>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6F7651"/>
    <w:rsid w:val="00707549"/>
    <w:rsid w:val="007140DF"/>
    <w:rsid w:val="00721CD2"/>
    <w:rsid w:val="00724CDE"/>
    <w:rsid w:val="00725047"/>
    <w:rsid w:val="00727F63"/>
    <w:rsid w:val="0073755E"/>
    <w:rsid w:val="00744A0E"/>
    <w:rsid w:val="007557B4"/>
    <w:rsid w:val="00764E82"/>
    <w:rsid w:val="0076735D"/>
    <w:rsid w:val="00775A5E"/>
    <w:rsid w:val="00775E1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7574"/>
    <w:rsid w:val="009836D1"/>
    <w:rsid w:val="0098626B"/>
    <w:rsid w:val="009879A6"/>
    <w:rsid w:val="00991164"/>
    <w:rsid w:val="009936B6"/>
    <w:rsid w:val="009A2963"/>
    <w:rsid w:val="009A4E1E"/>
    <w:rsid w:val="009B0840"/>
    <w:rsid w:val="009B270D"/>
    <w:rsid w:val="009C3E8F"/>
    <w:rsid w:val="009C7798"/>
    <w:rsid w:val="009D4EDC"/>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E719F"/>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15B1-D21D-47F1-94D2-70960C20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22011</TotalTime>
  <Pages>20</Pages>
  <Words>8855</Words>
  <Characters>53132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asus</cp:lastModifiedBy>
  <cp:revision>51</cp:revision>
  <cp:lastPrinted>2021-06-10T09:20:00Z</cp:lastPrinted>
  <dcterms:created xsi:type="dcterms:W3CDTF">2021-02-10T08:45:00Z</dcterms:created>
  <dcterms:modified xsi:type="dcterms:W3CDTF">2021-06-17T10:52:00Z</dcterms:modified>
</cp:coreProperties>
</file>