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7006B2AA" w14:textId="6B39C0B6" w:rsidR="00C50877" w:rsidRPr="0060557C" w:rsidRDefault="00185257" w:rsidP="0060557C">
      <w:pPr>
        <w:widowControl w:val="0"/>
        <w:autoSpaceDE w:val="0"/>
        <w:autoSpaceDN w:val="0"/>
        <w:adjustRightInd w:val="0"/>
        <w:spacing w:after="0" w:line="240" w:lineRule="auto"/>
        <w:rPr>
          <w:rFonts w:asciiTheme="minorHAnsi" w:hAnsiTheme="minorHAnsi" w:cstheme="minorHAnsi"/>
          <w:b/>
          <w:sz w:val="22"/>
          <w:szCs w:val="22"/>
        </w:rPr>
      </w:pPr>
      <w:r w:rsidRPr="0060557C">
        <w:rPr>
          <w:rFonts w:asciiTheme="minorHAnsi" w:hAnsiTheme="minorHAnsi" w:cstheme="minorHAnsi"/>
          <w:b/>
          <w:bCs/>
          <w:sz w:val="22"/>
          <w:szCs w:val="22"/>
        </w:rPr>
        <w:t>Przedmiot zamówienia</w:t>
      </w:r>
      <w:r w:rsidR="00C50877" w:rsidRPr="0060557C">
        <w:rPr>
          <w:rFonts w:asciiTheme="minorHAnsi" w:hAnsiTheme="minorHAnsi" w:cstheme="minorHAnsi"/>
          <w:b/>
          <w:bCs/>
          <w:sz w:val="22"/>
          <w:szCs w:val="22"/>
        </w:rPr>
        <w:t xml:space="preserve">: </w:t>
      </w:r>
      <w:r w:rsidR="0060557C" w:rsidRPr="0060557C">
        <w:rPr>
          <w:rFonts w:asciiTheme="minorHAnsi" w:hAnsiTheme="minorHAnsi" w:cstheme="minorHAnsi"/>
          <w:b/>
          <w:sz w:val="22"/>
          <w:szCs w:val="22"/>
        </w:rPr>
        <w:t xml:space="preserve">„Przebudowa drogi gminnej w Kromszewicach (dz. nr </w:t>
      </w:r>
      <w:proofErr w:type="spellStart"/>
      <w:r w:rsidR="0060557C" w:rsidRPr="0060557C">
        <w:rPr>
          <w:rFonts w:asciiTheme="minorHAnsi" w:hAnsiTheme="minorHAnsi" w:cstheme="minorHAnsi"/>
          <w:b/>
          <w:sz w:val="22"/>
          <w:szCs w:val="22"/>
        </w:rPr>
        <w:t>ewid</w:t>
      </w:r>
      <w:proofErr w:type="spellEnd"/>
      <w:r w:rsidR="0060557C" w:rsidRPr="0060557C">
        <w:rPr>
          <w:rFonts w:asciiTheme="minorHAnsi" w:hAnsiTheme="minorHAnsi" w:cstheme="minorHAnsi"/>
          <w:b/>
          <w:sz w:val="22"/>
          <w:szCs w:val="22"/>
        </w:rPr>
        <w:t xml:space="preserve">. 15 </w:t>
      </w:r>
      <w:proofErr w:type="spellStart"/>
      <w:r w:rsidR="0060557C" w:rsidRPr="0060557C">
        <w:rPr>
          <w:rFonts w:asciiTheme="minorHAnsi" w:hAnsiTheme="minorHAnsi" w:cstheme="minorHAnsi"/>
          <w:b/>
          <w:sz w:val="22"/>
          <w:szCs w:val="22"/>
        </w:rPr>
        <w:t>obr</w:t>
      </w:r>
      <w:proofErr w:type="spellEnd"/>
      <w:r w:rsidR="0060557C" w:rsidRPr="0060557C">
        <w:rPr>
          <w:rFonts w:asciiTheme="minorHAnsi" w:hAnsiTheme="minorHAnsi" w:cstheme="minorHAnsi"/>
          <w:b/>
          <w:sz w:val="22"/>
          <w:szCs w:val="22"/>
        </w:rPr>
        <w:t>. Kromszewice) na odcinku od km 0+000,00 do km 0+440,00, gmina Chodecz”</w:t>
      </w:r>
    </w:p>
    <w:p w14:paraId="75885B7E" w14:textId="54CA4D5C" w:rsidR="00346276" w:rsidRPr="00346276" w:rsidRDefault="00346276" w:rsidP="00C50877">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053C34B7" w:rsidR="00346276" w:rsidRPr="00346276" w:rsidRDefault="00346276" w:rsidP="00C50877">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60557C">
        <w:rPr>
          <w:rFonts w:asciiTheme="minorHAnsi" w:hAnsiTheme="minorHAnsi" w:cstheme="minorHAnsi"/>
          <w:kern w:val="0"/>
          <w:sz w:val="22"/>
          <w:szCs w:val="22"/>
          <w:lang w:eastAsia="en-US"/>
        </w:rPr>
        <w:t>2</w:t>
      </w:r>
      <w:r w:rsidR="00B03CF8">
        <w:rPr>
          <w:rFonts w:asciiTheme="minorHAnsi" w:hAnsiTheme="minorHAnsi" w:cstheme="minorHAnsi"/>
          <w:kern w:val="0"/>
          <w:sz w:val="22"/>
          <w:szCs w:val="22"/>
          <w:lang w:eastAsia="en-US"/>
        </w:rPr>
        <w:t>.2024</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46E1DB05"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237425">
        <w:rPr>
          <w:rFonts w:eastAsia="Calibri" w:cs="Calibri"/>
          <w:b/>
          <w:bCs/>
          <w:color w:val="auto"/>
          <w:lang w:val="pl-PL"/>
        </w:rPr>
        <w:t>10</w:t>
      </w:r>
      <w:r w:rsidR="00B03CF8">
        <w:rPr>
          <w:rFonts w:eastAsia="Calibri" w:cs="Calibri"/>
          <w:b/>
          <w:bCs/>
          <w:color w:val="auto"/>
          <w:lang w:val="pl-PL"/>
        </w:rPr>
        <w:t>.01.2024</w:t>
      </w:r>
      <w:r w:rsidRPr="00EA68AF">
        <w:rPr>
          <w:rFonts w:eastAsia="Calibri" w:cs="Calibri"/>
          <w:b/>
          <w:bCs/>
          <w:color w:val="auto"/>
          <w:lang w:val="pl-PL"/>
        </w:rPr>
        <w:t xml:space="preserve"> r.</w:t>
      </w:r>
    </w:p>
    <w:p w14:paraId="72C40D6D" w14:textId="77777777" w:rsidR="00792144" w:rsidRDefault="00792144" w:rsidP="00185257">
      <w:pPr>
        <w:pStyle w:val="Standard"/>
        <w:spacing w:line="360" w:lineRule="auto"/>
        <w:jc w:val="center"/>
        <w:rPr>
          <w:rFonts w:eastAsia="Calibri" w:cs="Calibri"/>
          <w:b/>
          <w:bCs/>
          <w:color w:val="auto"/>
          <w:lang w:val="pl-PL"/>
        </w:rPr>
      </w:pP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0A9A7F7D" w14:textId="19178511" w:rsidR="0060557C" w:rsidRDefault="009D2E7C"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0060557C" w:rsidRPr="000B1C8F">
          <w:rPr>
            <w:rStyle w:val="Hipercze"/>
            <w:rFonts w:asciiTheme="minorHAnsi" w:hAnsiTheme="minorHAnsi" w:cstheme="minorHAnsi"/>
            <w:kern w:val="0"/>
            <w:sz w:val="22"/>
            <w:szCs w:val="22"/>
            <w:lang w:eastAsia="en-US"/>
          </w:rPr>
          <w:t>https://ezamowienia.gov.pl/mp-client/tenders/ocds-148610-efe12cbc-aadd-11ee-a06e-7a3efa199397</w:t>
        </w:r>
      </w:hyperlink>
      <w:r w:rsidR="0060557C">
        <w:rPr>
          <w:rFonts w:asciiTheme="minorHAnsi" w:hAnsiTheme="minorHAnsi" w:cstheme="minorHAnsi"/>
          <w:color w:val="000000"/>
          <w:kern w:val="0"/>
          <w:sz w:val="22"/>
          <w:szCs w:val="22"/>
          <w:lang w:eastAsia="en-US"/>
        </w:rPr>
        <w:t xml:space="preserve"> </w:t>
      </w:r>
    </w:p>
    <w:p w14:paraId="2F79BCC2" w14:textId="5376AB67"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23037EDE" w14:textId="633C2D13" w:rsidR="0060557C" w:rsidRPr="00792144" w:rsidRDefault="009D2E7C" w:rsidP="004D173A">
      <w:pPr>
        <w:spacing w:after="0" w:line="240" w:lineRule="auto"/>
        <w:rPr>
          <w:rFonts w:asciiTheme="minorHAnsi" w:hAnsiTheme="minorHAnsi" w:cstheme="minorHAnsi"/>
          <w:sz w:val="22"/>
          <w:szCs w:val="22"/>
          <w:highlight w:val="yellow"/>
        </w:rPr>
      </w:pPr>
      <w:hyperlink r:id="rId10" w:history="1">
        <w:r w:rsidR="0060557C" w:rsidRPr="000B1C8F">
          <w:rPr>
            <w:rStyle w:val="Hipercze"/>
            <w:rFonts w:asciiTheme="minorHAnsi" w:hAnsiTheme="minorHAnsi" w:cstheme="minorHAnsi"/>
            <w:sz w:val="22"/>
            <w:szCs w:val="22"/>
          </w:rPr>
          <w:t>https://ezamowienia.gov.pl/mp-client/search/list/ocds-148610-efe12cbc-aadd-11ee-a06e-7a3efa199397</w:t>
        </w:r>
      </w:hyperlink>
      <w:r w:rsidR="0060557C">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34B91AC7" w:rsidR="002A7C0C" w:rsidRPr="0060557C" w:rsidRDefault="002A7C0C" w:rsidP="009D23D1">
      <w:pPr>
        <w:pStyle w:val="Default"/>
        <w:jc w:val="both"/>
        <w:rPr>
          <w:rFonts w:asciiTheme="minorHAnsi" w:hAnsiTheme="minorHAnsi" w:cstheme="minorHAnsi"/>
          <w:b/>
          <w:sz w:val="22"/>
          <w:szCs w:val="22"/>
        </w:rPr>
      </w:pPr>
      <w:r w:rsidRPr="0060557C">
        <w:rPr>
          <w:rFonts w:asciiTheme="minorHAnsi" w:hAnsiTheme="minorHAnsi" w:cstheme="minorHAnsi"/>
          <w:b/>
          <w:bCs/>
          <w:sz w:val="22"/>
          <w:szCs w:val="22"/>
        </w:rPr>
        <w:t>Identyfikator (ID) postępowania na Platformie e-</w:t>
      </w:r>
      <w:r w:rsidRPr="0060557C">
        <w:rPr>
          <w:rFonts w:asciiTheme="minorHAnsi" w:hAnsiTheme="minorHAnsi" w:cstheme="minorHAnsi"/>
          <w:b/>
          <w:sz w:val="22"/>
          <w:szCs w:val="22"/>
        </w:rPr>
        <w:t xml:space="preserve">Zamówienia: </w:t>
      </w:r>
      <w:r w:rsidR="0060557C" w:rsidRPr="0060557C">
        <w:rPr>
          <w:rFonts w:asciiTheme="minorHAnsi" w:hAnsiTheme="minorHAnsi" w:cstheme="minorHAnsi"/>
          <w:b/>
          <w:sz w:val="22"/>
          <w:szCs w:val="22"/>
        </w:rPr>
        <w:t>ocds-148610-efe12cbc-aadd-11ee-a06e-7a3efa199397</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27BC36" w14:textId="4D34B9D1" w:rsidR="0060557C" w:rsidRDefault="00744A0E"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60557C">
        <w:rPr>
          <w:rFonts w:asciiTheme="minorHAnsi" w:hAnsiTheme="minorHAnsi" w:cstheme="minorHAnsi"/>
          <w:sz w:val="22"/>
          <w:szCs w:val="22"/>
        </w:rPr>
        <w:t xml:space="preserve">Przedmiotem zamówienia jest </w:t>
      </w:r>
      <w:r w:rsidR="0060557C" w:rsidRPr="0060557C">
        <w:rPr>
          <w:rFonts w:asciiTheme="minorHAnsi" w:hAnsiTheme="minorHAnsi" w:cstheme="minorHAnsi"/>
          <w:b/>
          <w:sz w:val="22"/>
          <w:szCs w:val="22"/>
        </w:rPr>
        <w:t xml:space="preserve">„Przebudowa drogi gminnej w Kromszewicach (dz. nr </w:t>
      </w:r>
      <w:proofErr w:type="spellStart"/>
      <w:r w:rsidR="0060557C" w:rsidRPr="0060557C">
        <w:rPr>
          <w:rFonts w:asciiTheme="minorHAnsi" w:hAnsiTheme="minorHAnsi" w:cstheme="minorHAnsi"/>
          <w:b/>
          <w:sz w:val="22"/>
          <w:szCs w:val="22"/>
        </w:rPr>
        <w:t>ewid</w:t>
      </w:r>
      <w:proofErr w:type="spellEnd"/>
      <w:r w:rsidR="0060557C" w:rsidRPr="0060557C">
        <w:rPr>
          <w:rFonts w:asciiTheme="minorHAnsi" w:hAnsiTheme="minorHAnsi" w:cstheme="minorHAnsi"/>
          <w:b/>
          <w:sz w:val="22"/>
          <w:szCs w:val="22"/>
        </w:rPr>
        <w:t xml:space="preserve">. 15 </w:t>
      </w:r>
      <w:proofErr w:type="spellStart"/>
      <w:r w:rsidR="0060557C" w:rsidRPr="0060557C">
        <w:rPr>
          <w:rFonts w:asciiTheme="minorHAnsi" w:hAnsiTheme="minorHAnsi" w:cstheme="minorHAnsi"/>
          <w:b/>
          <w:sz w:val="22"/>
          <w:szCs w:val="22"/>
        </w:rPr>
        <w:t>obr</w:t>
      </w:r>
      <w:proofErr w:type="spellEnd"/>
      <w:r w:rsidR="0060557C" w:rsidRPr="0060557C">
        <w:rPr>
          <w:rFonts w:asciiTheme="minorHAnsi" w:hAnsiTheme="minorHAnsi" w:cstheme="minorHAnsi"/>
          <w:b/>
          <w:sz w:val="22"/>
          <w:szCs w:val="22"/>
        </w:rPr>
        <w:t>. Kromszewice) na odcinku od km 0+000,00 do km 0+440,00, gmina Chodecz”</w:t>
      </w:r>
      <w:r w:rsidR="0060557C">
        <w:rPr>
          <w:rFonts w:asciiTheme="minorHAnsi" w:hAnsiTheme="minorHAnsi" w:cstheme="minorHAnsi"/>
          <w:b/>
          <w:sz w:val="22"/>
          <w:szCs w:val="22"/>
        </w:rPr>
        <w:t>.</w:t>
      </w:r>
    </w:p>
    <w:p w14:paraId="7AC96076" w14:textId="1B92D959" w:rsidR="0060557C" w:rsidRPr="0060557C" w:rsidRDefault="0060557C" w:rsidP="0060557C">
      <w:pPr>
        <w:pStyle w:val="Akapitzlist"/>
        <w:numPr>
          <w:ilvl w:val="0"/>
          <w:numId w:val="3"/>
        </w:numPr>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 xml:space="preserve">Inwestycja prowadzona będzie w ciągu istniejącej drogi gminnej, w obrębie działki: dz. nr </w:t>
      </w:r>
      <w:proofErr w:type="spellStart"/>
      <w:r w:rsidRPr="0060557C">
        <w:rPr>
          <w:rFonts w:asciiTheme="minorHAnsi" w:hAnsiTheme="minorHAnsi" w:cstheme="minorHAnsi"/>
          <w:sz w:val="22"/>
          <w:szCs w:val="22"/>
        </w:rPr>
        <w:t>ewid</w:t>
      </w:r>
      <w:proofErr w:type="spellEnd"/>
      <w:r w:rsidRPr="0060557C">
        <w:rPr>
          <w:rFonts w:asciiTheme="minorHAnsi" w:hAnsiTheme="minorHAnsi" w:cstheme="minorHAnsi"/>
          <w:sz w:val="22"/>
          <w:szCs w:val="22"/>
        </w:rPr>
        <w:t>. 15 obręb Kromszewice, Gmina Chodecz.</w:t>
      </w:r>
    </w:p>
    <w:p w14:paraId="413B4BAA" w14:textId="01888187" w:rsidR="00FB0CEB" w:rsidRPr="00FB0CEB"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FB0CEB">
        <w:rPr>
          <w:rFonts w:asciiTheme="minorHAnsi" w:hAnsiTheme="minorHAnsi" w:cstheme="minorHAnsi"/>
          <w:b/>
          <w:spacing w:val="0"/>
          <w:kern w:val="0"/>
          <w:sz w:val="22"/>
          <w:szCs w:val="22"/>
        </w:rPr>
        <w:t xml:space="preserve">Inwestycja dofinansowana z środków </w:t>
      </w:r>
      <w:r w:rsidR="00792144">
        <w:rPr>
          <w:rFonts w:asciiTheme="minorHAnsi" w:hAnsiTheme="minorHAnsi" w:cstheme="minorHAnsi"/>
          <w:b/>
          <w:spacing w:val="0"/>
          <w:kern w:val="0"/>
          <w:sz w:val="22"/>
          <w:szCs w:val="22"/>
        </w:rPr>
        <w:t>Rządowego Funduszu Rozwoju Dróg</w:t>
      </w:r>
      <w:r w:rsidRPr="00FB0CEB">
        <w:rPr>
          <w:rFonts w:asciiTheme="minorHAnsi" w:hAnsiTheme="minorHAnsi" w:cstheme="minorHAnsi"/>
          <w:b/>
          <w:spacing w:val="0"/>
          <w:kern w:val="0"/>
          <w:sz w:val="22"/>
          <w:szCs w:val="22"/>
        </w:rPr>
        <w:t>.</w:t>
      </w:r>
    </w:p>
    <w:p w14:paraId="43DEF560" w14:textId="26BBEC67" w:rsidR="00B03CF8" w:rsidRPr="0060557C"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0557C">
        <w:rPr>
          <w:rFonts w:asciiTheme="minorHAnsi" w:hAnsiTheme="minorHAnsi" w:cstheme="minorHAnsi"/>
          <w:sz w:val="22"/>
          <w:szCs w:val="22"/>
        </w:rPr>
        <w:t>Szczegółowy opis przedmiotu zamówienia:</w:t>
      </w:r>
    </w:p>
    <w:p w14:paraId="0B4905BB" w14:textId="77777777" w:rsidR="0060557C" w:rsidRPr="0060557C" w:rsidRDefault="0060557C" w:rsidP="0060557C">
      <w:pPr>
        <w:autoSpaceDE w:val="0"/>
        <w:autoSpaceDN w:val="0"/>
        <w:adjustRightInd w:val="0"/>
        <w:spacing w:after="0" w:line="240" w:lineRule="auto"/>
        <w:rPr>
          <w:rFonts w:asciiTheme="minorHAnsi" w:hAnsiTheme="minorHAnsi" w:cstheme="minorHAnsi"/>
          <w:sz w:val="22"/>
          <w:szCs w:val="22"/>
        </w:rPr>
      </w:pPr>
      <w:r w:rsidRPr="0060557C">
        <w:rPr>
          <w:rFonts w:asciiTheme="minorHAnsi" w:hAnsiTheme="minorHAnsi" w:cstheme="minorHAnsi"/>
          <w:sz w:val="22"/>
          <w:szCs w:val="22"/>
        </w:rPr>
        <w:lastRenderedPageBreak/>
        <w:t xml:space="preserve">Przedsięwzięcie obejmuje przebudowę drogi gminnej w miejscowości Kromszewice, gmina Chodecz na odcinku od km 0+000 do km 0+440,00 dł. odc. 440 </w:t>
      </w:r>
      <w:proofErr w:type="spellStart"/>
      <w:r w:rsidRPr="0060557C">
        <w:rPr>
          <w:rFonts w:asciiTheme="minorHAnsi" w:hAnsiTheme="minorHAnsi" w:cstheme="minorHAnsi"/>
          <w:sz w:val="22"/>
          <w:szCs w:val="22"/>
        </w:rPr>
        <w:t>mb</w:t>
      </w:r>
      <w:proofErr w:type="spellEnd"/>
      <w:r w:rsidRPr="0060557C">
        <w:rPr>
          <w:rFonts w:asciiTheme="minorHAnsi" w:hAnsiTheme="minorHAnsi" w:cstheme="minorHAnsi"/>
          <w:sz w:val="22"/>
          <w:szCs w:val="22"/>
        </w:rPr>
        <w:t>.</w:t>
      </w:r>
    </w:p>
    <w:p w14:paraId="0B6D805F"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 xml:space="preserve">Zaprojektowano jedną jezdnię o jednym pasie ruchu, przeznaczonym do ruchu w obu kierunkach przekrój 1x1 o szer.3,5m </w:t>
      </w:r>
    </w:p>
    <w:p w14:paraId="6A0BFC7B" w14:textId="77777777" w:rsidR="0060557C" w:rsidRPr="0060557C" w:rsidRDefault="0060557C" w:rsidP="0060557C">
      <w:pPr>
        <w:autoSpaceDE w:val="0"/>
        <w:autoSpaceDN w:val="0"/>
        <w:adjustRightInd w:val="0"/>
        <w:spacing w:after="0" w:line="240" w:lineRule="auto"/>
        <w:rPr>
          <w:rFonts w:asciiTheme="minorHAnsi" w:hAnsiTheme="minorHAnsi" w:cstheme="minorHAnsi"/>
          <w:sz w:val="22"/>
          <w:szCs w:val="22"/>
        </w:rPr>
      </w:pPr>
    </w:p>
    <w:p w14:paraId="68E1E8FA"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u w:val="single"/>
        </w:rPr>
      </w:pPr>
      <w:r w:rsidRPr="0060557C">
        <w:rPr>
          <w:rFonts w:asciiTheme="minorHAnsi" w:hAnsiTheme="minorHAnsi" w:cstheme="minorHAnsi"/>
          <w:sz w:val="22"/>
          <w:szCs w:val="22"/>
          <w:u w:val="single"/>
        </w:rPr>
        <w:t>Założenia projektowe:</w:t>
      </w:r>
    </w:p>
    <w:p w14:paraId="3DB3A70C"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 xml:space="preserve">- przekrój dla klasy dróg lokalnych – L, </w:t>
      </w:r>
    </w:p>
    <w:p w14:paraId="301C443D"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 xml:space="preserve">- prędkość projektowa – 30 km/h, </w:t>
      </w:r>
    </w:p>
    <w:p w14:paraId="47729993"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 xml:space="preserve">- szerokość jezdni– 3,5 m, </w:t>
      </w:r>
    </w:p>
    <w:p w14:paraId="127A65D6"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 xml:space="preserve">- spadek poprzeczny jezdni – daszkowy – 2%, </w:t>
      </w:r>
    </w:p>
    <w:p w14:paraId="7CA17684"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 xml:space="preserve">- długość projektowanego odcinka drogi – 440 </w:t>
      </w:r>
      <w:proofErr w:type="spellStart"/>
      <w:r w:rsidRPr="0060557C">
        <w:rPr>
          <w:rFonts w:asciiTheme="minorHAnsi" w:hAnsiTheme="minorHAnsi" w:cstheme="minorHAnsi"/>
          <w:sz w:val="22"/>
          <w:szCs w:val="22"/>
        </w:rPr>
        <w:t>mb</w:t>
      </w:r>
      <w:proofErr w:type="spellEnd"/>
      <w:r w:rsidRPr="0060557C">
        <w:rPr>
          <w:rFonts w:asciiTheme="minorHAnsi" w:hAnsiTheme="minorHAnsi" w:cstheme="minorHAnsi"/>
          <w:sz w:val="22"/>
          <w:szCs w:val="22"/>
        </w:rPr>
        <w:t xml:space="preserve">, </w:t>
      </w:r>
    </w:p>
    <w:p w14:paraId="594C937F"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p>
    <w:p w14:paraId="69C35E8E" w14:textId="77777777" w:rsidR="0060557C" w:rsidRPr="0060557C" w:rsidRDefault="0060557C" w:rsidP="0060557C">
      <w:pPr>
        <w:widowControl w:val="0"/>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Zakresem remontu objęto:</w:t>
      </w:r>
    </w:p>
    <w:p w14:paraId="070F4B40" w14:textId="77777777" w:rsidR="0060557C" w:rsidRPr="0060557C" w:rsidRDefault="0060557C" w:rsidP="0060557C">
      <w:pPr>
        <w:autoSpaceDE w:val="0"/>
        <w:autoSpaceDN w:val="0"/>
        <w:adjustRightInd w:val="0"/>
        <w:spacing w:after="0" w:line="240" w:lineRule="auto"/>
        <w:rPr>
          <w:rFonts w:asciiTheme="minorHAnsi" w:hAnsiTheme="minorHAnsi" w:cstheme="minorHAnsi"/>
          <w:sz w:val="22"/>
          <w:szCs w:val="22"/>
        </w:rPr>
      </w:pPr>
      <w:r w:rsidRPr="0060557C">
        <w:rPr>
          <w:rFonts w:asciiTheme="minorHAnsi" w:hAnsiTheme="minorHAnsi" w:cstheme="minorHAnsi"/>
          <w:sz w:val="22"/>
          <w:szCs w:val="22"/>
        </w:rPr>
        <w:t xml:space="preserve">1) jezdnia od km 0+000 do km 0+440 dł. odc. 440 </w:t>
      </w:r>
      <w:proofErr w:type="spellStart"/>
      <w:r w:rsidRPr="0060557C">
        <w:rPr>
          <w:rFonts w:asciiTheme="minorHAnsi" w:hAnsiTheme="minorHAnsi" w:cstheme="minorHAnsi"/>
          <w:sz w:val="22"/>
          <w:szCs w:val="22"/>
        </w:rPr>
        <w:t>mb</w:t>
      </w:r>
      <w:proofErr w:type="spellEnd"/>
      <w:r w:rsidRPr="0060557C">
        <w:rPr>
          <w:rFonts w:asciiTheme="minorHAnsi" w:hAnsiTheme="minorHAnsi" w:cstheme="minorHAnsi"/>
          <w:sz w:val="22"/>
          <w:szCs w:val="22"/>
        </w:rPr>
        <w:t>, szer. 3,5m:</w:t>
      </w:r>
    </w:p>
    <w:p w14:paraId="70C68BAC" w14:textId="77777777" w:rsidR="0060557C" w:rsidRPr="0060557C" w:rsidRDefault="0060557C" w:rsidP="0060557C">
      <w:pPr>
        <w:pStyle w:val="Akapitzlist"/>
        <w:spacing w:after="0" w:line="240" w:lineRule="auto"/>
        <w:ind w:left="0"/>
        <w:jc w:val="both"/>
        <w:rPr>
          <w:rFonts w:asciiTheme="minorHAnsi" w:hAnsiTheme="minorHAnsi" w:cstheme="minorHAnsi"/>
          <w:sz w:val="22"/>
          <w:szCs w:val="22"/>
        </w:rPr>
      </w:pPr>
      <w:r w:rsidRPr="0060557C">
        <w:rPr>
          <w:rFonts w:asciiTheme="minorHAnsi" w:hAnsiTheme="minorHAnsi" w:cstheme="minorHAnsi"/>
          <w:sz w:val="22"/>
          <w:szCs w:val="22"/>
        </w:rPr>
        <w:t xml:space="preserve">- wykonanie warstwy podbudowy z kamienia łamanego twardego 0/31,5mm gr. 20 cm z zaklinowaniem i </w:t>
      </w:r>
      <w:proofErr w:type="spellStart"/>
      <w:r w:rsidRPr="0060557C">
        <w:rPr>
          <w:rFonts w:asciiTheme="minorHAnsi" w:hAnsiTheme="minorHAnsi" w:cstheme="minorHAnsi"/>
          <w:sz w:val="22"/>
          <w:szCs w:val="22"/>
        </w:rPr>
        <w:t>zamiałowaniem</w:t>
      </w:r>
      <w:proofErr w:type="spellEnd"/>
      <w:r w:rsidRPr="0060557C">
        <w:rPr>
          <w:rFonts w:asciiTheme="minorHAnsi" w:hAnsiTheme="minorHAnsi" w:cstheme="minorHAnsi"/>
          <w:sz w:val="22"/>
          <w:szCs w:val="22"/>
        </w:rPr>
        <w:t>,</w:t>
      </w:r>
    </w:p>
    <w:p w14:paraId="0BE932E2" w14:textId="77777777" w:rsidR="0060557C" w:rsidRPr="0060557C" w:rsidRDefault="0060557C" w:rsidP="0060557C">
      <w:pPr>
        <w:pStyle w:val="Akapitzlist"/>
        <w:spacing w:after="0" w:line="240" w:lineRule="auto"/>
        <w:ind w:left="0"/>
        <w:jc w:val="both"/>
        <w:rPr>
          <w:rFonts w:asciiTheme="minorHAnsi" w:hAnsiTheme="minorHAnsi" w:cstheme="minorHAnsi"/>
          <w:sz w:val="22"/>
          <w:szCs w:val="22"/>
        </w:rPr>
      </w:pPr>
      <w:r w:rsidRPr="0060557C">
        <w:rPr>
          <w:rFonts w:asciiTheme="minorHAnsi" w:hAnsiTheme="minorHAnsi" w:cstheme="minorHAnsi"/>
          <w:sz w:val="22"/>
          <w:szCs w:val="22"/>
        </w:rPr>
        <w:t>- ułożenie masy – beton asfaltowy AC11W (wiążąca) gr. 4 cm,</w:t>
      </w:r>
    </w:p>
    <w:p w14:paraId="0C51C313" w14:textId="77777777" w:rsidR="0060557C" w:rsidRPr="0060557C" w:rsidRDefault="0060557C" w:rsidP="0060557C">
      <w:pPr>
        <w:pStyle w:val="Akapitzlist"/>
        <w:spacing w:after="0" w:line="240" w:lineRule="auto"/>
        <w:ind w:left="0"/>
        <w:jc w:val="both"/>
        <w:rPr>
          <w:rFonts w:asciiTheme="minorHAnsi" w:hAnsiTheme="minorHAnsi" w:cstheme="minorHAnsi"/>
          <w:sz w:val="22"/>
          <w:szCs w:val="22"/>
        </w:rPr>
      </w:pPr>
      <w:r w:rsidRPr="0060557C">
        <w:rPr>
          <w:rFonts w:asciiTheme="minorHAnsi" w:hAnsiTheme="minorHAnsi" w:cstheme="minorHAnsi"/>
          <w:sz w:val="22"/>
          <w:szCs w:val="22"/>
        </w:rPr>
        <w:t>- ułożenie masy – beton asfaltowy AC8W (ścieralna) gr. 3 cm,</w:t>
      </w:r>
    </w:p>
    <w:p w14:paraId="37B56181" w14:textId="77777777" w:rsidR="0060557C" w:rsidRPr="0060557C" w:rsidRDefault="0060557C" w:rsidP="0060557C">
      <w:pPr>
        <w:pStyle w:val="Akapitzlist"/>
        <w:spacing w:after="0" w:line="240" w:lineRule="auto"/>
        <w:ind w:left="0"/>
        <w:jc w:val="both"/>
        <w:rPr>
          <w:rFonts w:asciiTheme="minorHAnsi" w:hAnsiTheme="minorHAnsi" w:cstheme="minorHAnsi"/>
          <w:sz w:val="22"/>
          <w:szCs w:val="22"/>
        </w:rPr>
      </w:pPr>
      <w:r w:rsidRPr="0060557C">
        <w:rPr>
          <w:rFonts w:asciiTheme="minorHAnsi" w:hAnsiTheme="minorHAnsi" w:cstheme="minorHAnsi"/>
          <w:sz w:val="22"/>
          <w:szCs w:val="22"/>
        </w:rPr>
        <w:t>2) pobocza - obustronne pobocza szer. 0,75 m utwardzone kruszywem łamanym 0/31,5 mm stabilizowanym mechanicznie gr. 10 cm</w:t>
      </w:r>
    </w:p>
    <w:p w14:paraId="446A7525" w14:textId="77777777" w:rsidR="0060557C" w:rsidRPr="0060557C" w:rsidRDefault="0060557C" w:rsidP="0060557C">
      <w:pPr>
        <w:autoSpaceDE w:val="0"/>
        <w:autoSpaceDN w:val="0"/>
        <w:adjustRightInd w:val="0"/>
        <w:spacing w:after="0" w:line="240" w:lineRule="auto"/>
        <w:jc w:val="both"/>
        <w:rPr>
          <w:rFonts w:asciiTheme="minorHAnsi" w:hAnsiTheme="minorHAnsi" w:cstheme="minorHAnsi"/>
          <w:sz w:val="22"/>
          <w:szCs w:val="22"/>
        </w:rPr>
      </w:pPr>
      <w:r w:rsidRPr="0060557C">
        <w:rPr>
          <w:rFonts w:asciiTheme="minorHAnsi" w:hAnsiTheme="minorHAnsi" w:cstheme="minorHAnsi"/>
          <w:sz w:val="22"/>
          <w:szCs w:val="22"/>
        </w:rPr>
        <w:t>3) Odwodnienie: Zaprojektowano odwodnienie przy pomocy spadków poprzecznych nawierzchni jak i pochyleń niwelety odprowadzając nadmiar wody opadowej z powierzchni jezdni na pobocze gruntowe.</w:t>
      </w:r>
    </w:p>
    <w:p w14:paraId="17E36FE9" w14:textId="77777777" w:rsidR="0060557C" w:rsidRPr="00E651D9" w:rsidRDefault="0060557C"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4BF831D1"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projekcie budowlanym, stanowiącym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 xml:space="preserve">do SWZ, w Szczegółowej specyfikacji technicznej stanowiących </w:t>
      </w:r>
      <w:r w:rsidRPr="00176765">
        <w:rPr>
          <w:rFonts w:asciiTheme="minorHAnsi" w:hAnsiTheme="minorHAnsi" w:cstheme="minorHAnsi"/>
          <w:b/>
          <w:sz w:val="22"/>
          <w:szCs w:val="22"/>
        </w:rPr>
        <w:t>Z</w:t>
      </w:r>
      <w:r w:rsidRPr="00176765">
        <w:rPr>
          <w:rFonts w:asciiTheme="minorHAnsi" w:hAnsiTheme="minorHAnsi" w:cstheme="minorHAnsi"/>
          <w:b/>
          <w:bCs/>
          <w:sz w:val="22"/>
          <w:szCs w:val="22"/>
        </w:rPr>
        <w:t xml:space="preserve">ałącznik nr </w:t>
      </w:r>
      <w:r w:rsidR="00081B88" w:rsidRPr="00176765">
        <w:rPr>
          <w:rFonts w:asciiTheme="minorHAnsi" w:hAnsiTheme="minorHAnsi" w:cstheme="minorHAnsi"/>
          <w:b/>
          <w:bCs/>
          <w:sz w:val="22"/>
          <w:szCs w:val="22"/>
        </w:rPr>
        <w:t>7</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 xml:space="preserve">do SWZ, </w:t>
      </w:r>
      <w:r w:rsidR="00B03CF8" w:rsidRPr="00176765">
        <w:rPr>
          <w:rFonts w:asciiTheme="minorHAnsi" w:hAnsiTheme="minorHAnsi" w:cstheme="minorHAnsi"/>
          <w:sz w:val="22"/>
          <w:szCs w:val="22"/>
        </w:rPr>
        <w:t xml:space="preserve">organizacji ruchu stanowiącej </w:t>
      </w:r>
      <w:r w:rsidR="00B03CF8" w:rsidRPr="00176765">
        <w:rPr>
          <w:rFonts w:asciiTheme="minorHAnsi" w:hAnsiTheme="minorHAnsi" w:cstheme="minorHAnsi"/>
          <w:b/>
          <w:sz w:val="22"/>
          <w:szCs w:val="22"/>
        </w:rPr>
        <w:t xml:space="preserve">Załącznik nr 8 </w:t>
      </w:r>
      <w:r w:rsidR="00B03CF8" w:rsidRPr="00176765">
        <w:rPr>
          <w:rFonts w:asciiTheme="minorHAnsi" w:hAnsiTheme="minorHAnsi" w:cstheme="minorHAnsi"/>
          <w:sz w:val="22"/>
          <w:szCs w:val="22"/>
        </w:rPr>
        <w:t xml:space="preserve">do SWZ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2D7A9D7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Pr="00176765">
        <w:rPr>
          <w:rFonts w:asciiTheme="minorHAnsi" w:hAnsiTheme="minorHAnsi" w:cstheme="minorHAnsi"/>
          <w:b/>
          <w:sz w:val="22"/>
          <w:szCs w:val="22"/>
        </w:rPr>
        <w:t>4 szt. tablic informacyjnych o dofinansowaniu projektu (2 sztuki w trakcie rozpoczęcia prac i 2 sztuki po zakończeniu prac)</w:t>
      </w:r>
      <w:r w:rsidRPr="00176765">
        <w:rPr>
          <w:rFonts w:asciiTheme="minorHAnsi" w:hAnsiTheme="minorHAnsi" w:cstheme="minorHAnsi"/>
          <w:sz w:val="22"/>
          <w:szCs w:val="22"/>
        </w:rPr>
        <w:t xml:space="preserve"> zawierające treść zgodną z wytycznymi stanowiącymi </w:t>
      </w:r>
      <w:r w:rsidRPr="00176765">
        <w:rPr>
          <w:rFonts w:asciiTheme="minorHAnsi" w:hAnsiTheme="minorHAnsi" w:cstheme="minorHAnsi"/>
          <w:b/>
          <w:sz w:val="22"/>
          <w:szCs w:val="22"/>
        </w:rPr>
        <w:t>Załącznik nr 9</w:t>
      </w:r>
      <w:r w:rsidRPr="00176765">
        <w:rPr>
          <w:rFonts w:asciiTheme="minorHAnsi" w:hAnsiTheme="minorHAnsi" w:cstheme="minorHAnsi"/>
          <w:sz w:val="22"/>
          <w:szCs w:val="22"/>
        </w:rPr>
        <w:t xml:space="preserve"> do SWZ</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0E205DAF" w14:textId="77777777" w:rsidR="00176765" w:rsidRPr="00176765" w:rsidRDefault="00795A94" w:rsidP="00176765">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 xml:space="preserve">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w:t>
      </w:r>
      <w:r w:rsidRPr="00176765">
        <w:rPr>
          <w:rFonts w:asciiTheme="minorHAnsi" w:hAnsiTheme="minorHAnsi" w:cstheme="minorHAnsi"/>
          <w:b/>
          <w:sz w:val="22"/>
          <w:szCs w:val="22"/>
        </w:rPr>
        <w:t>inwentaryzacji w powyższym terminie skutkować będzie zleceniem opracowania mapy przez Zamawiającego, a kosztami jej wykonania zostanie obciążony Wykonawca.</w:t>
      </w:r>
    </w:p>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2B956F27" w14:textId="77777777" w:rsidR="00FB0CEB" w:rsidRPr="00744A0E"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916224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91575F">
        <w:rPr>
          <w:rFonts w:asciiTheme="minorHAnsi" w:hAnsiTheme="minorHAnsi" w:cstheme="minorHAnsi"/>
          <w:b/>
          <w:spacing w:val="0"/>
          <w:kern w:val="0"/>
          <w:sz w:val="22"/>
          <w:szCs w:val="22"/>
        </w:rPr>
        <w:t>10</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1ED5ECCF" w:rsidR="00BD21B2" w:rsidRDefault="006D6E8C" w:rsidP="00395BD7">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0FEA902D" w14:textId="1FE7A70D" w:rsidR="00FB0CEB" w:rsidRDefault="00FB0CEB" w:rsidP="00FB0CEB">
      <w:pPr>
        <w:spacing w:after="0" w:line="240" w:lineRule="auto"/>
        <w:jc w:val="both"/>
        <w:rPr>
          <w:rFonts w:asciiTheme="minorHAnsi" w:hAnsiTheme="minorHAnsi" w:cstheme="minorHAnsi"/>
          <w:sz w:val="22"/>
          <w:szCs w:val="22"/>
          <w:highlight w:val="yellow"/>
        </w:rPr>
      </w:pP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lastRenderedPageBreak/>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0"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w:t>
      </w:r>
      <w:r w:rsidRPr="002F70BB">
        <w:rPr>
          <w:rFonts w:asciiTheme="minorHAnsi" w:hAnsiTheme="minorHAnsi" w:cstheme="minorHAnsi"/>
          <w:kern w:val="0"/>
          <w:sz w:val="22"/>
          <w:szCs w:val="22"/>
          <w:lang w:eastAsia="en-US"/>
        </w:rPr>
        <w:lastRenderedPageBreak/>
        <w:t xml:space="preserve">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0"/>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lastRenderedPageBreak/>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1"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lastRenderedPageBreak/>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w:t>
      </w:r>
      <w:r w:rsidRPr="00B55BE1">
        <w:rPr>
          <w:rFonts w:asciiTheme="minorHAnsi" w:hAnsiTheme="minorHAnsi" w:cstheme="minorHAnsi"/>
          <w:kern w:val="0"/>
          <w:sz w:val="22"/>
          <w:szCs w:val="22"/>
          <w:lang w:eastAsia="en-US"/>
        </w:rPr>
        <w:lastRenderedPageBreak/>
        <w:t xml:space="preserve">mocodawcy. Elektroniczna kopia pełnomocnictwa nie może być uwierzytelniona przez upełnomocnionego. </w:t>
      </w:r>
    </w:p>
    <w:bookmarkEnd w:id="1"/>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4137AB07"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91575F">
        <w:rPr>
          <w:rFonts w:asciiTheme="minorHAnsi" w:hAnsiTheme="minorHAnsi" w:cstheme="minorHAnsi"/>
          <w:b/>
          <w:spacing w:val="0"/>
          <w:kern w:val="0"/>
          <w:sz w:val="22"/>
          <w:szCs w:val="22"/>
          <w:u w:val="single"/>
        </w:rPr>
        <w:t>2</w:t>
      </w:r>
      <w:r w:rsidR="00237425">
        <w:rPr>
          <w:rFonts w:asciiTheme="minorHAnsi" w:hAnsiTheme="minorHAnsi" w:cstheme="minorHAnsi"/>
          <w:b/>
          <w:spacing w:val="0"/>
          <w:kern w:val="0"/>
          <w:sz w:val="22"/>
          <w:szCs w:val="22"/>
          <w:u w:val="single"/>
        </w:rPr>
        <w:t>5</w:t>
      </w:r>
      <w:r w:rsidR="0091575F">
        <w:rPr>
          <w:rFonts w:asciiTheme="minorHAnsi" w:hAnsiTheme="minorHAnsi" w:cstheme="minorHAnsi"/>
          <w:b/>
          <w:spacing w:val="0"/>
          <w:kern w:val="0"/>
          <w:sz w:val="22"/>
          <w:szCs w:val="22"/>
          <w:u w:val="single"/>
        </w:rPr>
        <w:t xml:space="preserve"> stycznia 2024</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2"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2"/>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3" w:name="_Hlk125565159"/>
      <w:r w:rsidRPr="00744A0E">
        <w:rPr>
          <w:rFonts w:asciiTheme="minorHAnsi" w:hAnsiTheme="minorHAnsi" w:cstheme="minorHAnsi"/>
          <w:b/>
          <w:spacing w:val="0"/>
          <w:kern w:val="0"/>
          <w:sz w:val="22"/>
          <w:szCs w:val="22"/>
        </w:rPr>
        <w:t>TERMIN OTWARCIA OFERT</w:t>
      </w:r>
    </w:p>
    <w:p w14:paraId="66E41A98" w14:textId="6240524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91575F">
        <w:rPr>
          <w:rFonts w:asciiTheme="minorHAnsi" w:hAnsiTheme="minorHAnsi" w:cstheme="minorHAnsi"/>
          <w:b/>
          <w:spacing w:val="0"/>
          <w:kern w:val="0"/>
          <w:sz w:val="22"/>
          <w:szCs w:val="22"/>
          <w:u w:val="single"/>
        </w:rPr>
        <w:t>2</w:t>
      </w:r>
      <w:r w:rsidR="00237425">
        <w:rPr>
          <w:rFonts w:asciiTheme="minorHAnsi" w:hAnsiTheme="minorHAnsi" w:cstheme="minorHAnsi"/>
          <w:b/>
          <w:spacing w:val="0"/>
          <w:kern w:val="0"/>
          <w:sz w:val="22"/>
          <w:szCs w:val="22"/>
          <w:u w:val="single"/>
        </w:rPr>
        <w:t>5</w:t>
      </w:r>
      <w:bookmarkStart w:id="4" w:name="_GoBack"/>
      <w:bookmarkEnd w:id="4"/>
      <w:r w:rsidR="0091575F">
        <w:rPr>
          <w:rFonts w:asciiTheme="minorHAnsi" w:hAnsiTheme="minorHAnsi" w:cstheme="minorHAnsi"/>
          <w:b/>
          <w:spacing w:val="0"/>
          <w:kern w:val="0"/>
          <w:sz w:val="22"/>
          <w:szCs w:val="22"/>
          <w:u w:val="single"/>
        </w:rPr>
        <w:t xml:space="preserve"> stycznia 2024</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60557C">
        <w:rPr>
          <w:rFonts w:asciiTheme="minorHAnsi" w:hAnsiTheme="minorHAnsi" w:cstheme="minorHAnsi"/>
          <w:b/>
          <w:spacing w:val="0"/>
          <w:kern w:val="0"/>
          <w:sz w:val="22"/>
          <w:szCs w:val="22"/>
          <w:u w:val="single"/>
        </w:rPr>
        <w:t>10:00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lastRenderedPageBreak/>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44A0E">
        <w:rPr>
          <w:rFonts w:asciiTheme="minorHAnsi" w:hAnsiTheme="minorHAnsi" w:cstheme="minorHAnsi"/>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lastRenderedPageBreak/>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3"/>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5"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0B52D47A" w:rsidR="00671CDF"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4834C482" w:rsidR="00671CDF" w:rsidRDefault="00671CDF" w:rsidP="00073149">
      <w:pPr>
        <w:spacing w:after="160" w:line="240" w:lineRule="auto"/>
        <w:jc w:val="both"/>
        <w:rPr>
          <w:rFonts w:asciiTheme="minorHAnsi" w:hAnsiTheme="minorHAnsi" w:cstheme="minorHAnsi"/>
          <w:sz w:val="22"/>
          <w:szCs w:val="22"/>
        </w:rPr>
      </w:pP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5"/>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82497E">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6"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lastRenderedPageBreak/>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6"/>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lastRenderedPageBreak/>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7"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zostały </w:t>
      </w:r>
      <w:r w:rsidRPr="00E5073B">
        <w:rPr>
          <w:rFonts w:asciiTheme="minorHAnsi" w:hAnsiTheme="minorHAnsi" w:cstheme="minorHAnsi"/>
          <w:sz w:val="22"/>
          <w:szCs w:val="22"/>
        </w:rPr>
        <w:lastRenderedPageBreak/>
        <w:t>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7E1212A6" w14:textId="775FB280" w:rsidR="00EA68AF" w:rsidRPr="00B03CF8"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r w:rsidR="003C4574">
        <w:rPr>
          <w:rFonts w:asciiTheme="minorHAnsi" w:hAnsiTheme="minorHAnsi" w:cstheme="minorHAnsi"/>
          <w:sz w:val="22"/>
          <w:szCs w:val="22"/>
        </w:rPr>
        <w:t>;</w:t>
      </w:r>
    </w:p>
    <w:p w14:paraId="6AE5E6F6" w14:textId="3884E4A9" w:rsidR="00B03CF8" w:rsidRDefault="00B03CF8" w:rsidP="00B03CF8">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Organizacja ruchu – Załącznik nr 8;</w:t>
      </w:r>
    </w:p>
    <w:p w14:paraId="2D4FD688" w14:textId="3A3617F8" w:rsidR="00B03CF8" w:rsidRPr="00B03CF8" w:rsidRDefault="00B03CF8" w:rsidP="00B03CF8">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Wytyczne tablica informacyjna – Załącznik nr 9.</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7"/>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5BEE" w14:textId="77777777" w:rsidR="009D2E7C" w:rsidRDefault="009D2E7C" w:rsidP="00255A38">
      <w:pPr>
        <w:spacing w:after="0" w:line="240" w:lineRule="auto"/>
      </w:pPr>
      <w:r>
        <w:separator/>
      </w:r>
    </w:p>
  </w:endnote>
  <w:endnote w:type="continuationSeparator" w:id="0">
    <w:p w14:paraId="02283397" w14:textId="77777777" w:rsidR="009D2E7C" w:rsidRDefault="009D2E7C"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91575F" w:rsidRDefault="0091575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91575F" w:rsidRDefault="00915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AAFC" w14:textId="77777777" w:rsidR="009D2E7C" w:rsidRDefault="009D2E7C" w:rsidP="00255A38">
      <w:pPr>
        <w:spacing w:after="0" w:line="240" w:lineRule="auto"/>
      </w:pPr>
      <w:r>
        <w:separator/>
      </w:r>
    </w:p>
  </w:footnote>
  <w:footnote w:type="continuationSeparator" w:id="0">
    <w:p w14:paraId="631108B3" w14:textId="77777777" w:rsidR="009D2E7C" w:rsidRDefault="009D2E7C"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0"/>
        </w:tabs>
        <w:ind w:left="720" w:hanging="360"/>
      </w:pPr>
      <w:rPr>
        <w:rFonts w:ascii="Calibri" w:hAnsi="Calibri" w:cs="Calibri"/>
        <w:b w:val="0"/>
        <w:bCs/>
        <w:sz w:val="20"/>
        <w:szCs w:val="2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4"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4"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6"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2"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0"/>
  </w:num>
  <w:num w:numId="3">
    <w:abstractNumId w:val="26"/>
  </w:num>
  <w:num w:numId="4">
    <w:abstractNumId w:val="63"/>
  </w:num>
  <w:num w:numId="5">
    <w:abstractNumId w:val="16"/>
  </w:num>
  <w:num w:numId="6">
    <w:abstractNumId w:val="53"/>
  </w:num>
  <w:num w:numId="7">
    <w:abstractNumId w:val="64"/>
  </w:num>
  <w:num w:numId="8">
    <w:abstractNumId w:val="25"/>
  </w:num>
  <w:num w:numId="9">
    <w:abstractNumId w:val="61"/>
  </w:num>
  <w:num w:numId="10">
    <w:abstractNumId w:val="5"/>
  </w:num>
  <w:num w:numId="11">
    <w:abstractNumId w:val="22"/>
  </w:num>
  <w:num w:numId="12">
    <w:abstractNumId w:val="19"/>
  </w:num>
  <w:num w:numId="13">
    <w:abstractNumId w:val="8"/>
  </w:num>
  <w:num w:numId="14">
    <w:abstractNumId w:val="10"/>
  </w:num>
  <w:num w:numId="15">
    <w:abstractNumId w:val="56"/>
  </w:num>
  <w:num w:numId="16">
    <w:abstractNumId w:val="27"/>
  </w:num>
  <w:num w:numId="17">
    <w:abstractNumId w:val="24"/>
  </w:num>
  <w:num w:numId="18">
    <w:abstractNumId w:val="4"/>
  </w:num>
  <w:num w:numId="19">
    <w:abstractNumId w:val="18"/>
  </w:num>
  <w:num w:numId="20">
    <w:abstractNumId w:val="37"/>
  </w:num>
  <w:num w:numId="21">
    <w:abstractNumId w:val="31"/>
  </w:num>
  <w:num w:numId="22">
    <w:abstractNumId w:val="35"/>
  </w:num>
  <w:num w:numId="23">
    <w:abstractNumId w:val="48"/>
  </w:num>
  <w:num w:numId="24">
    <w:abstractNumId w:val="21"/>
  </w:num>
  <w:num w:numId="25">
    <w:abstractNumId w:val="12"/>
  </w:num>
  <w:num w:numId="26">
    <w:abstractNumId w:val="47"/>
  </w:num>
  <w:num w:numId="27">
    <w:abstractNumId w:val="54"/>
  </w:num>
  <w:num w:numId="28">
    <w:abstractNumId w:val="3"/>
  </w:num>
  <w:num w:numId="29">
    <w:abstractNumId w:val="52"/>
  </w:num>
  <w:num w:numId="30">
    <w:abstractNumId w:val="36"/>
  </w:num>
  <w:num w:numId="31">
    <w:abstractNumId w:val="11"/>
  </w:num>
  <w:num w:numId="32">
    <w:abstractNumId w:val="30"/>
  </w:num>
  <w:num w:numId="33">
    <w:abstractNumId w:val="65"/>
  </w:num>
  <w:num w:numId="34">
    <w:abstractNumId w:val="39"/>
  </w:num>
  <w:num w:numId="35">
    <w:abstractNumId w:val="49"/>
  </w:num>
  <w:num w:numId="36">
    <w:abstractNumId w:val="17"/>
  </w:num>
  <w:num w:numId="37">
    <w:abstractNumId w:val="9"/>
  </w:num>
  <w:num w:numId="38">
    <w:abstractNumId w:val="62"/>
  </w:num>
  <w:num w:numId="39">
    <w:abstractNumId w:val="38"/>
  </w:num>
  <w:num w:numId="40">
    <w:abstractNumId w:val="7"/>
  </w:num>
  <w:num w:numId="41">
    <w:abstractNumId w:val="13"/>
  </w:num>
  <w:num w:numId="42">
    <w:abstractNumId w:val="45"/>
  </w:num>
  <w:num w:numId="43">
    <w:abstractNumId w:val="43"/>
  </w:num>
  <w:num w:numId="44">
    <w:abstractNumId w:val="28"/>
  </w:num>
  <w:num w:numId="45">
    <w:abstractNumId w:val="58"/>
  </w:num>
  <w:num w:numId="46">
    <w:abstractNumId w:val="51"/>
  </w:num>
  <w:num w:numId="47">
    <w:abstractNumId w:val="6"/>
  </w:num>
  <w:num w:numId="48">
    <w:abstractNumId w:val="50"/>
  </w:num>
  <w:num w:numId="49">
    <w:abstractNumId w:val="44"/>
  </w:num>
  <w:num w:numId="50">
    <w:abstractNumId w:val="40"/>
  </w:num>
  <w:num w:numId="51">
    <w:abstractNumId w:val="55"/>
  </w:num>
  <w:num w:numId="52">
    <w:abstractNumId w:val="42"/>
  </w:num>
  <w:num w:numId="53">
    <w:abstractNumId w:val="23"/>
  </w:num>
  <w:num w:numId="54">
    <w:abstractNumId w:val="20"/>
  </w:num>
  <w:num w:numId="55">
    <w:abstractNumId w:val="59"/>
  </w:num>
  <w:num w:numId="56">
    <w:abstractNumId w:val="15"/>
  </w:num>
  <w:num w:numId="57">
    <w:abstractNumId w:val="29"/>
  </w:num>
  <w:num w:numId="58">
    <w:abstractNumId w:val="46"/>
  </w:num>
  <w:num w:numId="59">
    <w:abstractNumId w:val="32"/>
  </w:num>
  <w:num w:numId="60">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76765"/>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333"/>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efe12cbc-aadd-11ee-a06e-7a3efa199397" TargetMode="External"/><Relationship Id="rId4" Type="http://schemas.openxmlformats.org/officeDocument/2006/relationships/settings" Target="settings.xml"/><Relationship Id="rId9" Type="http://schemas.openxmlformats.org/officeDocument/2006/relationships/hyperlink" Target="https://ezamowienia.gov.pl/mp-client/tenders/ocds-148610-efe12cbc-aadd-11ee-a06e-7a3efa199397"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1E0A-6224-4D81-A5F6-9608A556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22554</TotalTime>
  <Pages>22</Pages>
  <Words>10259</Words>
  <Characters>61555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106</cp:revision>
  <cp:lastPrinted>2022-06-28T08:36:00Z</cp:lastPrinted>
  <dcterms:created xsi:type="dcterms:W3CDTF">2021-02-10T08:45:00Z</dcterms:created>
  <dcterms:modified xsi:type="dcterms:W3CDTF">2024-01-10T08:32:00Z</dcterms:modified>
</cp:coreProperties>
</file>