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2038EBA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A0685E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3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3C719D6" w14:textId="3B4D28CB" w:rsidR="00A0685E" w:rsidRPr="00A0685E" w:rsidRDefault="008C2091" w:rsidP="00A0685E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685E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A06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685E" w:rsidRPr="00A068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0685E" w:rsidRPr="00A0685E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Szkole Podstawowej im. Tadeusza Kościuszki w Chodczu w roku szkolnym 2021/2022”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4DD9E1A8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Chodecz, </w:t>
      </w:r>
      <w:r w:rsidR="005F1EAC">
        <w:rPr>
          <w:rFonts w:asciiTheme="minorHAnsi" w:eastAsia="Calibri" w:hAnsiTheme="minorHAnsi" w:cstheme="minorHAnsi"/>
          <w:b/>
          <w:bCs/>
          <w:color w:val="00000A"/>
          <w:sz w:val="24"/>
        </w:rPr>
        <w:t>02.09</w:t>
      </w: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>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02A4EEDF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</w:t>
      </w:r>
      <w:r w:rsidR="00A0685E" w:rsidRPr="00A0685E">
        <w:rPr>
          <w:rFonts w:asciiTheme="minorHAnsi" w:hAnsiTheme="minorHAnsi" w:cstheme="minorHAnsi"/>
          <w:sz w:val="22"/>
          <w:szCs w:val="22"/>
        </w:rPr>
        <w:t>Szkole Podstawowej im. Tadeusza Kościuszki w Chodczu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roku szkolnym 2021/2022. Zamawiający wyszczególnił </w:t>
      </w:r>
      <w:r w:rsidR="00DD0F25">
        <w:rPr>
          <w:rFonts w:asciiTheme="minorHAnsi" w:hAnsiTheme="minorHAnsi" w:cstheme="minorHAnsi"/>
          <w:b/>
          <w:sz w:val="22"/>
          <w:szCs w:val="22"/>
        </w:rPr>
        <w:t>5</w:t>
      </w:r>
      <w:r w:rsidRPr="009F7930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następujących asortymentach: </w:t>
      </w:r>
    </w:p>
    <w:p w14:paraId="6332C5BF" w14:textId="77777777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1 - </w:t>
      </w: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53131C0B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2 - </w:t>
      </w:r>
      <w:r w:rsidR="00F67380"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5C60AD60" w14:textId="19807628" w:rsidR="0013326F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70B53874" w14:textId="5766F88E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ieczywo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50C1947" w14:textId="3D162ABF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DD0F2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Mrożonki</w:t>
      </w:r>
    </w:p>
    <w:p w14:paraId="1948EC48" w14:textId="1B3643A9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1c, 1d, 1e</w:t>
      </w:r>
      <w:r w:rsidR="00DD0F25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7A51DDC4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A06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bCs/>
          <w:sz w:val="22"/>
          <w:szCs w:val="22"/>
        </w:rPr>
        <w:t>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</w:t>
      </w:r>
      <w:r w:rsidRPr="00FC08B0">
        <w:rPr>
          <w:rFonts w:asciiTheme="minorHAnsi" w:hAnsiTheme="minorHAnsi" w:cstheme="minorHAnsi"/>
          <w:sz w:val="22"/>
          <w:szCs w:val="22"/>
        </w:rPr>
        <w:lastRenderedPageBreak/>
        <w:t xml:space="preserve">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4B597321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1c, 1d, 1e</w:t>
      </w:r>
      <w:r w:rsidRPr="00FC08B0">
        <w:rPr>
          <w:rFonts w:asciiTheme="minorHAnsi" w:hAnsiTheme="minorHAnsi" w:cstheme="minorHAnsi"/>
          <w:sz w:val="22"/>
          <w:szCs w:val="22"/>
        </w:rPr>
        <w:t xml:space="preserve"> 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63842421" w14:textId="3DE7272A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15221000-3 - Ryby mrożone</w:t>
      </w:r>
    </w:p>
    <w:p w14:paraId="67D63C3D" w14:textId="128C4E5C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15331170-9 - Warzywa mrożone</w:t>
      </w:r>
    </w:p>
    <w:p w14:paraId="2BA6D153" w14:textId="115741C2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15811500-1 - Pieczywo gotowe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1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1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INFORMACJE O ŚRODKACH KOMUNIKACJI ELEKTRONICZNEJ, PRZY UŻYCIU KTÓRYCH ZAMAWIAJĄCY BĘDZIE KOMUNIKOWAŁ SIĘ Z WYKONAWCAMI, ORAZ INFORMACJE 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D8FE72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976822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 xml:space="preserve">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075EBF49" w:rsidR="00673BC0" w:rsidRPr="004E2B27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DD0F25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10 października</w:t>
      </w:r>
      <w:r w:rsidR="009936B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6DF5C712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 xml:space="preserve">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26EF3154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t>Szczegółową kalkulację oferty na wzorach określonych w złącznikach nr 1a, 1b, 1c, 1d, 1e (w zależności, której części zamówienia dotyczy oferta).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2C110158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fertę wraz z wymaganymi załącznikami należy złożyć w terminie 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DD0F25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 września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8C2091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75B90B68" w:rsidR="003157D6" w:rsidRPr="004E2B27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DD0F25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 września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</w:t>
      </w:r>
      <w:r w:rsidR="00FC08B0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</w:t>
      </w:r>
      <w:r w:rsidR="00A0685E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45</w:t>
      </w:r>
    </w:p>
    <w:p w14:paraId="4EEF57AB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77777777" w:rsidR="00FC513F" w:rsidRPr="0071424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2 - „Czas dostawy"- będzie punktowane przez zamawiającego w oparciu o wyliczenie 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>T= wskaźnik czasu dostawy x 40 = ilość punktów</w:t>
      </w:r>
    </w:p>
    <w:p w14:paraId="5D04B630" w14:textId="77777777" w:rsidR="005723F3" w:rsidRPr="0078533B" w:rsidRDefault="005723F3" w:rsidP="005723F3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>Uwaga! Zamawiający uznaje za korzystny czas dostawy towaru: godziny 6:00 – 08:00 w dniach pracy kuchni.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Wskazanie godziny dostawy w tym przedziale będzie skutkowało przyznaniem 40 pkt w ramach kryterium „czas dostawy”.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bookmarkStart w:id="2" w:name="_GoBack"/>
      <w:bookmarkEnd w:id="2"/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3096CBBE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976822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44042FAC" w:rsidR="00671CDF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FA5C408" w14:textId="77777777" w:rsidR="004E2B27" w:rsidRPr="008C2091" w:rsidRDefault="004E2B27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B8DAC" w14:textId="77777777" w:rsidR="006963FE" w:rsidRPr="008C2091" w:rsidRDefault="006963F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455E4BFC" w:rsidR="00671CDF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95DDBC" w14:textId="77777777" w:rsidR="004E2B27" w:rsidRPr="008C2091" w:rsidRDefault="004E2B27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5A0935BC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Zamawiający 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9F7930" w:rsidRPr="009F7930">
        <w:rPr>
          <w:rFonts w:asciiTheme="minorHAnsi" w:hAnsiTheme="minorHAnsi" w:cstheme="minorHAnsi"/>
          <w:sz w:val="22"/>
          <w:szCs w:val="22"/>
        </w:rPr>
        <w:t xml:space="preserve"> z podziałem na następujące części zamówienia:</w:t>
      </w:r>
    </w:p>
    <w:p w14:paraId="1A9FFF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Artykuły spożywcze</w:t>
      </w:r>
    </w:p>
    <w:p w14:paraId="0721C2F6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Warzywa i owoce</w:t>
      </w:r>
    </w:p>
    <w:p w14:paraId="354102A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Nabiał </w:t>
      </w:r>
    </w:p>
    <w:p w14:paraId="1A10803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Pieczywo </w:t>
      </w:r>
    </w:p>
    <w:p w14:paraId="06147264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Mięso i wędliny</w:t>
      </w:r>
    </w:p>
    <w:p w14:paraId="59750B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Mrożonki</w:t>
      </w:r>
    </w:p>
    <w:p w14:paraId="29B205A4" w14:textId="77777777" w:rsidR="009F7930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F572C" w14:textId="1836743C" w:rsidR="009F7930" w:rsidRPr="009F7930" w:rsidRDefault="009F7930" w:rsidP="00A068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mogą składać oferty w odniesieniu do wszystkich części zamówienia. W tym celu, Wykonawca wypełnia w formularzy ofertowym cenę dla poszczególnych lub dla każdej z części zamówienia.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6A5C8840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1c, 1d, 1e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A348" w14:textId="77777777" w:rsidR="00EE66FF" w:rsidRDefault="00EE66FF" w:rsidP="00255A38">
      <w:pPr>
        <w:spacing w:after="0" w:line="240" w:lineRule="auto"/>
      </w:pPr>
      <w:r>
        <w:separator/>
      </w:r>
    </w:p>
  </w:endnote>
  <w:endnote w:type="continuationSeparator" w:id="0">
    <w:p w14:paraId="247ED3D9" w14:textId="77777777" w:rsidR="00EE66FF" w:rsidRDefault="00EE66FF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??ˇ¦||||||||||||||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F69D" w14:textId="77777777" w:rsidR="00EE66FF" w:rsidRDefault="00EE66FF" w:rsidP="00255A38">
      <w:pPr>
        <w:spacing w:after="0" w:line="240" w:lineRule="auto"/>
      </w:pPr>
      <w:r>
        <w:separator/>
      </w:r>
    </w:p>
  </w:footnote>
  <w:footnote w:type="continuationSeparator" w:id="0">
    <w:p w14:paraId="344BC961" w14:textId="77777777" w:rsidR="00EE66FF" w:rsidRDefault="00EE66FF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2325D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A0C46"/>
    <w:rsid w:val="004B1AC8"/>
    <w:rsid w:val="004B46BE"/>
    <w:rsid w:val="004C431D"/>
    <w:rsid w:val="004C5A8C"/>
    <w:rsid w:val="004D732E"/>
    <w:rsid w:val="004E1297"/>
    <w:rsid w:val="004E2B2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23F3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5F1EAC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B10DC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3487A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998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51A74"/>
    <w:rsid w:val="009639AC"/>
    <w:rsid w:val="00966467"/>
    <w:rsid w:val="00976822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0685E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3A5B"/>
    <w:rsid w:val="00C75A45"/>
    <w:rsid w:val="00C85B66"/>
    <w:rsid w:val="00C85F71"/>
    <w:rsid w:val="00C872B9"/>
    <w:rsid w:val="00C9013F"/>
    <w:rsid w:val="00C92A85"/>
    <w:rsid w:val="00CC340F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0F25"/>
    <w:rsid w:val="00DD31D4"/>
    <w:rsid w:val="00DE44A4"/>
    <w:rsid w:val="00DE4B2D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66FF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9B8C-0FB2-45C5-A6E1-E1724280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9761</TotalTime>
  <Pages>15</Pages>
  <Words>6435</Words>
  <Characters>38613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17</cp:revision>
  <cp:lastPrinted>2021-09-02T12:21:00Z</cp:lastPrinted>
  <dcterms:created xsi:type="dcterms:W3CDTF">2021-02-10T08:45:00Z</dcterms:created>
  <dcterms:modified xsi:type="dcterms:W3CDTF">2021-09-02T12:23:00Z</dcterms:modified>
</cp:coreProperties>
</file>