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Ogłoszenie nr 500053089-N-2017 z dnia 03-11-2017 r. </w:t>
      </w:r>
    </w:p>
    <w:p w:rsidR="00300256" w:rsidRPr="00300256" w:rsidRDefault="00300256" w:rsidP="00300256">
      <w:pPr>
        <w:spacing w:after="0" w:line="240" w:lineRule="auto"/>
        <w:jc w:val="center"/>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Miasto i Gmina Chodecz: „Termomodernizacja budynku Miejsko-Gminnego Ośrodka Kultury w Chodczu” </w:t>
      </w:r>
      <w:r w:rsidRPr="00300256">
        <w:rPr>
          <w:rFonts w:ascii="Times New Roman" w:eastAsia="Times New Roman" w:hAnsi="Times New Roman" w:cs="Times New Roman"/>
          <w:sz w:val="24"/>
          <w:szCs w:val="24"/>
          <w:lang w:eastAsia="pl-PL"/>
        </w:rPr>
        <w:br/>
      </w:r>
      <w:r w:rsidRPr="00300256">
        <w:rPr>
          <w:rFonts w:ascii="Times New Roman" w:eastAsia="Times New Roman" w:hAnsi="Times New Roman" w:cs="Times New Roman"/>
          <w:sz w:val="24"/>
          <w:szCs w:val="24"/>
          <w:lang w:eastAsia="pl-PL"/>
        </w:rPr>
        <w:br/>
        <w:t xml:space="preserve">OGŁOSZENIE O UDZIELENIU ZAMÓWIENIA - Roboty budowlane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Zamieszczanie ogłoszenia:</w:t>
      </w:r>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obowiązkowe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Ogłoszenie dotyczy:</w:t>
      </w:r>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zamówienia publicznego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tak </w:t>
      </w:r>
      <w:r w:rsidRPr="00300256">
        <w:rPr>
          <w:rFonts w:ascii="Times New Roman" w:eastAsia="Times New Roman" w:hAnsi="Times New Roman" w:cs="Times New Roman"/>
          <w:sz w:val="24"/>
          <w:szCs w:val="24"/>
          <w:lang w:eastAsia="pl-PL"/>
        </w:rPr>
        <w:br/>
        <w:t xml:space="preserve">Nazwa projektu lub programu </w:t>
      </w:r>
      <w:r w:rsidRPr="00300256">
        <w:rPr>
          <w:rFonts w:ascii="Times New Roman" w:eastAsia="Times New Roman" w:hAnsi="Times New Roman" w:cs="Times New Roman"/>
          <w:sz w:val="24"/>
          <w:szCs w:val="24"/>
          <w:lang w:eastAsia="pl-PL"/>
        </w:rPr>
        <w:br/>
        <w:t xml:space="preserve">Regionalny Program Operacyjny Województwa Kujawsko-Pomorskiego na lata 2014-2020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Zamówienie było przedmiotem ogłoszenia w Biuletynie Zamówień Publicznych:</w:t>
      </w:r>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tak </w:t>
      </w:r>
      <w:r w:rsidRPr="00300256">
        <w:rPr>
          <w:rFonts w:ascii="Times New Roman" w:eastAsia="Times New Roman" w:hAnsi="Times New Roman" w:cs="Times New Roman"/>
          <w:sz w:val="24"/>
          <w:szCs w:val="24"/>
          <w:lang w:eastAsia="pl-PL"/>
        </w:rPr>
        <w:br/>
        <w:t xml:space="preserve">Numer ogłoszenia: 604557-N-2017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Ogłoszenie o zmianie ogłoszenia zostało zamieszczone w Biuletynie Zamówień Publicznych:</w:t>
      </w:r>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nie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u w:val="single"/>
          <w:lang w:eastAsia="pl-PL"/>
        </w:rPr>
        <w:t>SEKCJA I: ZAMAWIAJĄCY</w:t>
      </w:r>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 xml:space="preserve">I. 1) NAZWA I ADRES: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Miasto i Gmina Chodecz, Krajowy numer identyfikacyjny 91086683800000, ul. ul. Kaliska  2, 87860   Chodecz, woj. kujawsko-pomorskie, państwo Polska, tel. 542 848 070, e-mail inwestycjechodecz@op.pl, faks 542 848 070. </w:t>
      </w:r>
      <w:r w:rsidRPr="00300256">
        <w:rPr>
          <w:rFonts w:ascii="Times New Roman" w:eastAsia="Times New Roman" w:hAnsi="Times New Roman" w:cs="Times New Roman"/>
          <w:sz w:val="24"/>
          <w:szCs w:val="24"/>
          <w:lang w:eastAsia="pl-PL"/>
        </w:rPr>
        <w:br/>
        <w:t>Adres strony internetowej (</w:t>
      </w:r>
      <w:proofErr w:type="spellStart"/>
      <w:r w:rsidRPr="00300256">
        <w:rPr>
          <w:rFonts w:ascii="Times New Roman" w:eastAsia="Times New Roman" w:hAnsi="Times New Roman" w:cs="Times New Roman"/>
          <w:sz w:val="24"/>
          <w:szCs w:val="24"/>
          <w:lang w:eastAsia="pl-PL"/>
        </w:rPr>
        <w:t>url</w:t>
      </w:r>
      <w:proofErr w:type="spellEnd"/>
      <w:r w:rsidRPr="00300256">
        <w:rPr>
          <w:rFonts w:ascii="Times New Roman" w:eastAsia="Times New Roman" w:hAnsi="Times New Roman" w:cs="Times New Roman"/>
          <w:sz w:val="24"/>
          <w:szCs w:val="24"/>
          <w:lang w:eastAsia="pl-PL"/>
        </w:rPr>
        <w:t xml:space="preserve">): www.chodecz.pl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I.2) RODZAJ ZAMAWIAJĄCEGO:</w:t>
      </w:r>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Administracja samorządowa</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u w:val="single"/>
          <w:lang w:eastAsia="pl-PL"/>
        </w:rPr>
        <w:t xml:space="preserve">SEKCJA II: PRZEDMIOT ZAMÓWIENIA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 xml:space="preserve">II.1) Nazwa nadana zamówieniu przez zamawiającego: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„Termomodernizacja budynku Miejsko-Gminnego Ośrodka Kultury w Chodczu”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Numer referencyjny</w:t>
      </w:r>
      <w:r w:rsidRPr="00300256">
        <w:rPr>
          <w:rFonts w:ascii="Times New Roman" w:eastAsia="Times New Roman" w:hAnsi="Times New Roman" w:cs="Times New Roman"/>
          <w:i/>
          <w:iCs/>
          <w:sz w:val="24"/>
          <w:szCs w:val="24"/>
          <w:lang w:eastAsia="pl-PL"/>
        </w:rPr>
        <w:t>(jeżeli dotyczy):</w:t>
      </w:r>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In.272.13.2017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II.2) Rodzaj zamówienia:</w:t>
      </w:r>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Roboty budowlane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 xml:space="preserve">II.3) Krótki opis przedmiotu zamówienia </w:t>
      </w:r>
      <w:r w:rsidRPr="0030025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00256">
        <w:rPr>
          <w:rFonts w:ascii="Times New Roman" w:eastAsia="Times New Roman" w:hAnsi="Times New Roman" w:cs="Times New Roman"/>
          <w:sz w:val="24"/>
          <w:szCs w:val="24"/>
          <w:lang w:eastAsia="pl-PL"/>
        </w:rPr>
        <w:t xml:space="preserve"> </w:t>
      </w:r>
      <w:r w:rsidRPr="00300256">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Istniejące pomieszczenia budynku Miejsko-Gminnego Ośrodka Kultury w Chodczu przy ul. Ogrodowej podlegać będą kapitalnemu remontowi bez zmiany sposobu użytkowania. Budynek ten zostanie zmodernizowany i zaadaptowany na potrzeby realizacji usług świadczonych w środowisku lokalnym, na potrzeby mieszkańców Gminy i Miasta Chodecz. Realizacja projektu obejmuje szereg prac remontowo-budowlanych, sanitarnych i prac elektrycznych, które pozwolą na udostępnienie obiektu dla celów prowadzenia działań na rzecz aktywnej integracji społeczności lokalnej oraz działań zmierzających do zniwelowania wykluczenia społecznego mieszkańców Miasta i Gminy Chodecz. Zakres prac przewiduje następujące działania: I. Roboty budowlane - BRANŻA BUDOWLANA, w ramach której </w:t>
      </w:r>
      <w:r w:rsidRPr="00300256">
        <w:rPr>
          <w:rFonts w:ascii="Times New Roman" w:eastAsia="Times New Roman" w:hAnsi="Times New Roman" w:cs="Times New Roman"/>
          <w:sz w:val="24"/>
          <w:szCs w:val="24"/>
          <w:lang w:eastAsia="pl-PL"/>
        </w:rPr>
        <w:lastRenderedPageBreak/>
        <w:t xml:space="preserve">zostaną wykonane: 1. Rozbiórki i uzupełnienia, tynki. 2. Naprawa elewacji z cegły i kamienia. 3. Dach z pokryciem ceramicznym. 4. Dachy pozostałe. 5. Stolarka okienna i drzwiowa. 6. Podłogi drewniane. 7. Posadzki wylewane i ułożenie płytek. 8. Remont schodów drewnianych. 9. Okładziny wewnętrzne – płyt g-k, ceramiczne, ścianka w.c., malowanie. 10. Elewacja i roboty zewnętrzne (podjazd dla osób niepełnosprawnych, opaska, utwardzenie terenu). II. Roboty budowlane - BRANŻA ELEKTRYCZNA - wykonanie nowej instalacji wraz oświetleniem III. Roboty budowlane - BRANŻA SANITARNA 1. Wykonanie nowej instalacji wodociągowej i kanalizacyjne. 2. Wykonanie nowej instalacji centralnego ogrzewania z kotłownią. 3. Wykonanie przyłącza kanalizacyjnego. IV. Zakup wyposażenia Miejsko-Gminnego Ośrodka Kultury w Chodczu 1. Zakup wyposażenia pokoju dziennego (przeznaczony do spędzania czasu przy kawie, TV i rozmowie). 2. Zakup wyposażenia pokoju do ćwiczeń i rehabilitacji. 3. Zakup wyposażenia do pokoju artystycznego. 4. Zakup wyposażenia do sali komputerowej. 5. Zakup wyposażenia do sali multimedialnej. Szczegółowy opis przedmiotu zamówienia zawarty jest w projekcie budowlanym, stanowiącym Załącznik nr 7 do SIWZ, w Specyfikacjach technicznych wykonania i odbioru robót budowlanych, stanowiących Załącznik nr 8 do SIWZ oraz w przedmiarze robót stanowiących Załącznik nr 9 do SIWZ. Wykonawca bez dodatkowego wynagrodzenia zobowiązuje się do: 1) wszelkich robót przygotowawczych, w tym robót porządkowych, organizacji i utrzymania placu budowy, dostawy dla potrzeb realizacji przedmiotu umowy niezbędnych mediów, w tym: energii elektrycznej, wody, itp. oraz ponoszenia kosztów ich zużycia, 2) oznakowania terenu budowy, m.in. umieszczenie tablicy informacyjnej wynikającej z ustawy Prawo budowlane oraz 1 szt. tablicy informacyjnej o finansowaniu projektu z Unii Europejskiej zawierającej treść uzgodnioną z Zamawiającym, 3) poniesienia kosztów związanych z odbiorami wykonanych robót, 4) w przypadku uszkodzenia urządzeń bądź ich części (np. sieci elektrycznej) w toku realizacji przedmiotu zamówienia – naprawienia ich i doprowadzenie do stanu pierwotnego, 5) pokrycia ewentualnych kosztów demontażu, montażu bądź naprawy ogrodzeń posesji oraz innych uszkodzeń obiektów istniejących i elementów zagospodarowania terenu, 6) dokonania uzgodnień, uzyskania wszelkich opinii niezbędnych do wykonania przedmiotu umowy i przekazania go do użytku, 7) zapewnienia dozoru, a także właściwych warunków bezpieczeństwa i higieny pracy, 8) utrzymania terenu budowy w stanie wolnym od przeszkód komunikacyjnych oraz usuwania na bieżąco zbędnych materiałów, odpadów i śmieci, 9) uporządkowania terenu budowy po zakończeniu robót i przekazanie go Zamawiającemu najpóźniej do dnia odbioru końcowego.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II.4) Informacja o częściach zamówienia:</w:t>
      </w:r>
      <w:r w:rsidRPr="00300256">
        <w:rPr>
          <w:rFonts w:ascii="Times New Roman" w:eastAsia="Times New Roman" w:hAnsi="Times New Roman" w:cs="Times New Roman"/>
          <w:sz w:val="24"/>
          <w:szCs w:val="24"/>
          <w:lang w:eastAsia="pl-PL"/>
        </w:rPr>
        <w:t xml:space="preserve"> </w:t>
      </w:r>
      <w:r w:rsidRPr="00300256">
        <w:rPr>
          <w:rFonts w:ascii="Times New Roman" w:eastAsia="Times New Roman" w:hAnsi="Times New Roman" w:cs="Times New Roman"/>
          <w:sz w:val="24"/>
          <w:szCs w:val="24"/>
          <w:lang w:eastAsia="pl-PL"/>
        </w:rPr>
        <w:br/>
      </w:r>
      <w:r w:rsidRPr="00300256">
        <w:rPr>
          <w:rFonts w:ascii="Times New Roman" w:eastAsia="Times New Roman" w:hAnsi="Times New Roman" w:cs="Times New Roman"/>
          <w:b/>
          <w:bCs/>
          <w:sz w:val="24"/>
          <w:szCs w:val="24"/>
          <w:lang w:eastAsia="pl-PL"/>
        </w:rPr>
        <w:t>Zamówienie było podzielone na części:</w:t>
      </w:r>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nie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II.5) Główny Kod CPV:</w:t>
      </w:r>
      <w:r w:rsidRPr="00300256">
        <w:rPr>
          <w:rFonts w:ascii="Times New Roman" w:eastAsia="Times New Roman" w:hAnsi="Times New Roman" w:cs="Times New Roman"/>
          <w:sz w:val="24"/>
          <w:szCs w:val="24"/>
          <w:lang w:eastAsia="pl-PL"/>
        </w:rPr>
        <w:t xml:space="preserve"> 45000000-7</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 xml:space="preserve">Dodatkowe kody CPV: </w:t>
      </w:r>
      <w:r w:rsidRPr="00300256">
        <w:rPr>
          <w:rFonts w:ascii="Times New Roman" w:eastAsia="Times New Roman" w:hAnsi="Times New Roman" w:cs="Times New Roman"/>
          <w:sz w:val="24"/>
          <w:szCs w:val="24"/>
          <w:lang w:eastAsia="pl-PL"/>
        </w:rPr>
        <w:t xml:space="preserve">45453000-7, 45421132-8, 45421131-1, 45324000-4, 45442100-8, 45310000-3, 45321000-3, 45332000-3, 45332400-7, 45443000-4, 45400000-1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u w:val="single"/>
          <w:lang w:eastAsia="pl-PL"/>
        </w:rPr>
        <w:t xml:space="preserve">SEKCJA III: PROCEDURA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 xml:space="preserve">III.1) TRYB UDZIELENIA ZAMÓWIENIA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Przetarg nieograniczony</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 xml:space="preserve">III.2) Ogłoszenie dotyczy zakończenia dynamicznego systemu zakupów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nie</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 xml:space="preserve">III.3) Informacje dodatkowe: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300256" w:rsidRPr="00300256" w:rsidTr="00300256">
        <w:trPr>
          <w:gridAfter w:val="1"/>
          <w:tblCellSpacing w:w="15" w:type="dxa"/>
        </w:trPr>
        <w:tc>
          <w:tcPr>
            <w:tcW w:w="0" w:type="auto"/>
            <w:vAlign w:val="center"/>
            <w:hideMark/>
          </w:tcPr>
          <w:p w:rsidR="00300256" w:rsidRPr="00300256" w:rsidRDefault="00300256" w:rsidP="00300256">
            <w:pPr>
              <w:spacing w:after="0" w:line="240" w:lineRule="auto"/>
              <w:rPr>
                <w:rFonts w:ascii="Times New Roman" w:eastAsia="Times New Roman" w:hAnsi="Times New Roman" w:cs="Times New Roman"/>
                <w:sz w:val="24"/>
                <w:szCs w:val="24"/>
                <w:lang w:eastAsia="pl-PL"/>
              </w:rPr>
            </w:pPr>
          </w:p>
        </w:tc>
      </w:tr>
      <w:tr w:rsidR="00300256" w:rsidRPr="00300256" w:rsidTr="00300256">
        <w:trPr>
          <w:gridAfter w:val="1"/>
          <w:tblCellSpacing w:w="15" w:type="dxa"/>
        </w:trPr>
        <w:tc>
          <w:tcPr>
            <w:tcW w:w="0" w:type="auto"/>
            <w:vAlign w:val="center"/>
            <w:hideMark/>
          </w:tcPr>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Postępowanie / część zostało unieważnione</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tak</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Należy podać podstawę i przyczynę unieważnienia postępowania:</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lastRenderedPageBreak/>
              <w:t xml:space="preserve">Zgodnie z dyspozycją art. 93 ust 1 pkt 4 ustawy </w:t>
            </w:r>
            <w:proofErr w:type="spellStart"/>
            <w:r w:rsidRPr="00300256">
              <w:rPr>
                <w:rFonts w:ascii="Times New Roman" w:eastAsia="Times New Roman" w:hAnsi="Times New Roman" w:cs="Times New Roman"/>
                <w:sz w:val="24"/>
                <w:szCs w:val="24"/>
                <w:lang w:eastAsia="pl-PL"/>
              </w:rPr>
              <w:t>p.z.p</w:t>
            </w:r>
            <w:proofErr w:type="spellEnd"/>
            <w:r w:rsidRPr="00300256">
              <w:rPr>
                <w:rFonts w:ascii="Times New Roman" w:eastAsia="Times New Roman" w:hAnsi="Times New Roman" w:cs="Times New Roman"/>
                <w:sz w:val="24"/>
                <w:szCs w:val="24"/>
                <w:lang w:eastAsia="pl-PL"/>
              </w:rPr>
              <w:t xml:space="preserve">. postępowanie o udzielenie zamówienia publicznego unieważnia się, jeżeli cena najkorzystniejszej oferty lub oferta z najkorzystniejszą ceną przewyższa kwotę, którą Zamawiający zamierza przeznaczyć na sfinansowanie zamówienia, chyba że Zamawiający może zwiększyć tę kwotę do ceny oferty najkorzystniejszej. W przedmiotowym postępowaniu ceny ofert znacznie przekraczają możliwości finansowe Zamawiającego, który zamierzał przeznaczyć na sfinansowanie zamówienia kwotę 1 378 688,13 zł. Zamawiający nie może zwiększyć kwoty na realizację zamówienia objętego przedmiotową procedurą do ceny oferty najkorzystniejszej. Mając powyższe na względzie uznać należy, iż zachodzi przesłanka unieważnienia postępowania na ww. podstawie prawnej. </w:t>
            </w:r>
          </w:p>
        </w:tc>
      </w:tr>
      <w:tr w:rsidR="00300256" w:rsidRPr="00300256" w:rsidTr="00300256">
        <w:trPr>
          <w:tblCellSpacing w:w="15" w:type="dxa"/>
        </w:trPr>
        <w:tc>
          <w:tcPr>
            <w:tcW w:w="0" w:type="auto"/>
            <w:gridSpan w:val="2"/>
            <w:vAlign w:val="center"/>
            <w:hideMark/>
          </w:tcPr>
          <w:p w:rsidR="00300256" w:rsidRPr="00300256" w:rsidRDefault="00300256" w:rsidP="00300256">
            <w:pPr>
              <w:spacing w:after="0" w:line="240" w:lineRule="auto"/>
              <w:rPr>
                <w:rFonts w:ascii="Times New Roman" w:eastAsia="Times New Roman" w:hAnsi="Times New Roman" w:cs="Times New Roman"/>
                <w:sz w:val="24"/>
                <w:szCs w:val="24"/>
                <w:lang w:eastAsia="pl-PL"/>
              </w:rPr>
            </w:pPr>
          </w:p>
        </w:tc>
      </w:tr>
    </w:tbl>
    <w:p w:rsidR="00300256" w:rsidRPr="00300256" w:rsidRDefault="00300256" w:rsidP="00300256">
      <w:pPr>
        <w:spacing w:after="0" w:line="240" w:lineRule="auto"/>
        <w:rPr>
          <w:rFonts w:ascii="Times New Roman" w:eastAsia="Times New Roman" w:hAnsi="Times New Roman" w:cs="Times New Roman"/>
          <w:sz w:val="24"/>
          <w:szCs w:val="24"/>
          <w:lang w:eastAsia="pl-PL"/>
        </w:rPr>
      </w:pP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IV.9.1) Podstawa prawna</w:t>
      </w:r>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Postępowanie prowadzone jest w trybie   na podstawie art.  ustawy </w:t>
      </w:r>
      <w:proofErr w:type="spellStart"/>
      <w:r w:rsidRPr="00300256">
        <w:rPr>
          <w:rFonts w:ascii="Times New Roman" w:eastAsia="Times New Roman" w:hAnsi="Times New Roman" w:cs="Times New Roman"/>
          <w:sz w:val="24"/>
          <w:szCs w:val="24"/>
          <w:lang w:eastAsia="pl-PL"/>
        </w:rPr>
        <w:t>Pzp</w:t>
      </w:r>
      <w:proofErr w:type="spellEnd"/>
      <w:r w:rsidRPr="00300256">
        <w:rPr>
          <w:rFonts w:ascii="Times New Roman" w:eastAsia="Times New Roman" w:hAnsi="Times New Roman" w:cs="Times New Roman"/>
          <w:sz w:val="24"/>
          <w:szCs w:val="24"/>
          <w:lang w:eastAsia="pl-PL"/>
        </w:rPr>
        <w:t xml:space="preserve">.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b/>
          <w:bCs/>
          <w:sz w:val="24"/>
          <w:szCs w:val="24"/>
          <w:lang w:eastAsia="pl-PL"/>
        </w:rPr>
        <w:t xml:space="preserve">IV.9.2) Uzasadnienie wyboru trybu </w:t>
      </w:r>
    </w:p>
    <w:p w:rsidR="00300256" w:rsidRPr="00300256" w:rsidRDefault="00300256" w:rsidP="00300256">
      <w:pPr>
        <w:spacing w:after="0" w:line="240" w:lineRule="auto"/>
        <w:rPr>
          <w:rFonts w:ascii="Times New Roman" w:eastAsia="Times New Roman" w:hAnsi="Times New Roman" w:cs="Times New Roman"/>
          <w:sz w:val="24"/>
          <w:szCs w:val="24"/>
          <w:lang w:eastAsia="pl-PL"/>
        </w:rPr>
      </w:pPr>
      <w:r w:rsidRPr="00300256">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4C2871" w:rsidRDefault="004C2871">
      <w:bookmarkStart w:id="0" w:name="_GoBack"/>
      <w:bookmarkEnd w:id="0"/>
    </w:p>
    <w:sectPr w:rsidR="004C2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56"/>
    <w:rsid w:val="00300256"/>
    <w:rsid w:val="004C2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BDDCC-94C6-4697-AF88-70AC323D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237">
      <w:bodyDiv w:val="1"/>
      <w:marLeft w:val="0"/>
      <w:marRight w:val="0"/>
      <w:marTop w:val="0"/>
      <w:marBottom w:val="0"/>
      <w:divBdr>
        <w:top w:val="none" w:sz="0" w:space="0" w:color="auto"/>
        <w:left w:val="none" w:sz="0" w:space="0" w:color="auto"/>
        <w:bottom w:val="none" w:sz="0" w:space="0" w:color="auto"/>
        <w:right w:val="none" w:sz="0" w:space="0" w:color="auto"/>
      </w:divBdr>
      <w:divsChild>
        <w:div w:id="2063675481">
          <w:marLeft w:val="0"/>
          <w:marRight w:val="0"/>
          <w:marTop w:val="0"/>
          <w:marBottom w:val="0"/>
          <w:divBdr>
            <w:top w:val="none" w:sz="0" w:space="0" w:color="auto"/>
            <w:left w:val="none" w:sz="0" w:space="0" w:color="auto"/>
            <w:bottom w:val="none" w:sz="0" w:space="0" w:color="auto"/>
            <w:right w:val="none" w:sz="0" w:space="0" w:color="auto"/>
          </w:divBdr>
          <w:divsChild>
            <w:div w:id="929236105">
              <w:marLeft w:val="0"/>
              <w:marRight w:val="0"/>
              <w:marTop w:val="0"/>
              <w:marBottom w:val="0"/>
              <w:divBdr>
                <w:top w:val="none" w:sz="0" w:space="0" w:color="auto"/>
                <w:left w:val="none" w:sz="0" w:space="0" w:color="auto"/>
                <w:bottom w:val="none" w:sz="0" w:space="0" w:color="auto"/>
                <w:right w:val="none" w:sz="0" w:space="0" w:color="auto"/>
              </w:divBdr>
            </w:div>
          </w:divsChild>
        </w:div>
        <w:div w:id="1810786668">
          <w:marLeft w:val="0"/>
          <w:marRight w:val="0"/>
          <w:marTop w:val="0"/>
          <w:marBottom w:val="0"/>
          <w:divBdr>
            <w:top w:val="none" w:sz="0" w:space="0" w:color="auto"/>
            <w:left w:val="none" w:sz="0" w:space="0" w:color="auto"/>
            <w:bottom w:val="none" w:sz="0" w:space="0" w:color="auto"/>
            <w:right w:val="none" w:sz="0" w:space="0" w:color="auto"/>
          </w:divBdr>
          <w:divsChild>
            <w:div w:id="1343623175">
              <w:marLeft w:val="0"/>
              <w:marRight w:val="0"/>
              <w:marTop w:val="0"/>
              <w:marBottom w:val="0"/>
              <w:divBdr>
                <w:top w:val="none" w:sz="0" w:space="0" w:color="auto"/>
                <w:left w:val="none" w:sz="0" w:space="0" w:color="auto"/>
                <w:bottom w:val="none" w:sz="0" w:space="0" w:color="auto"/>
                <w:right w:val="none" w:sz="0" w:space="0" w:color="auto"/>
              </w:divBdr>
            </w:div>
          </w:divsChild>
        </w:div>
        <w:div w:id="24989932">
          <w:marLeft w:val="0"/>
          <w:marRight w:val="0"/>
          <w:marTop w:val="0"/>
          <w:marBottom w:val="0"/>
          <w:divBdr>
            <w:top w:val="none" w:sz="0" w:space="0" w:color="auto"/>
            <w:left w:val="none" w:sz="0" w:space="0" w:color="auto"/>
            <w:bottom w:val="none" w:sz="0" w:space="0" w:color="auto"/>
            <w:right w:val="none" w:sz="0" w:space="0" w:color="auto"/>
          </w:divBdr>
          <w:divsChild>
            <w:div w:id="95753040">
              <w:marLeft w:val="0"/>
              <w:marRight w:val="0"/>
              <w:marTop w:val="0"/>
              <w:marBottom w:val="0"/>
              <w:divBdr>
                <w:top w:val="none" w:sz="0" w:space="0" w:color="auto"/>
                <w:left w:val="none" w:sz="0" w:space="0" w:color="auto"/>
                <w:bottom w:val="none" w:sz="0" w:space="0" w:color="auto"/>
                <w:right w:val="none" w:sz="0" w:space="0" w:color="auto"/>
              </w:divBdr>
            </w:div>
          </w:divsChild>
        </w:div>
        <w:div w:id="1432776146">
          <w:marLeft w:val="0"/>
          <w:marRight w:val="0"/>
          <w:marTop w:val="0"/>
          <w:marBottom w:val="0"/>
          <w:divBdr>
            <w:top w:val="none" w:sz="0" w:space="0" w:color="auto"/>
            <w:left w:val="none" w:sz="0" w:space="0" w:color="auto"/>
            <w:bottom w:val="none" w:sz="0" w:space="0" w:color="auto"/>
            <w:right w:val="none" w:sz="0" w:space="0" w:color="auto"/>
          </w:divBdr>
          <w:divsChild>
            <w:div w:id="766926320">
              <w:marLeft w:val="0"/>
              <w:marRight w:val="0"/>
              <w:marTop w:val="0"/>
              <w:marBottom w:val="0"/>
              <w:divBdr>
                <w:top w:val="none" w:sz="0" w:space="0" w:color="auto"/>
                <w:left w:val="none" w:sz="0" w:space="0" w:color="auto"/>
                <w:bottom w:val="none" w:sz="0" w:space="0" w:color="auto"/>
                <w:right w:val="none" w:sz="0" w:space="0" w:color="auto"/>
              </w:divBdr>
              <w:divsChild>
                <w:div w:id="20581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4128">
          <w:marLeft w:val="0"/>
          <w:marRight w:val="0"/>
          <w:marTop w:val="0"/>
          <w:marBottom w:val="0"/>
          <w:divBdr>
            <w:top w:val="none" w:sz="0" w:space="0" w:color="auto"/>
            <w:left w:val="none" w:sz="0" w:space="0" w:color="auto"/>
            <w:bottom w:val="none" w:sz="0" w:space="0" w:color="auto"/>
            <w:right w:val="none" w:sz="0" w:space="0" w:color="auto"/>
          </w:divBdr>
          <w:divsChild>
            <w:div w:id="997460300">
              <w:marLeft w:val="0"/>
              <w:marRight w:val="0"/>
              <w:marTop w:val="0"/>
              <w:marBottom w:val="0"/>
              <w:divBdr>
                <w:top w:val="none" w:sz="0" w:space="0" w:color="auto"/>
                <w:left w:val="none" w:sz="0" w:space="0" w:color="auto"/>
                <w:bottom w:val="none" w:sz="0" w:space="0" w:color="auto"/>
                <w:right w:val="none" w:sz="0" w:space="0" w:color="auto"/>
              </w:divBdr>
            </w:div>
          </w:divsChild>
        </w:div>
        <w:div w:id="80568717">
          <w:marLeft w:val="0"/>
          <w:marRight w:val="0"/>
          <w:marTop w:val="0"/>
          <w:marBottom w:val="0"/>
          <w:divBdr>
            <w:top w:val="none" w:sz="0" w:space="0" w:color="auto"/>
            <w:left w:val="none" w:sz="0" w:space="0" w:color="auto"/>
            <w:bottom w:val="none" w:sz="0" w:space="0" w:color="auto"/>
            <w:right w:val="none" w:sz="0" w:space="0" w:color="auto"/>
          </w:divBdr>
          <w:divsChild>
            <w:div w:id="1516267994">
              <w:marLeft w:val="0"/>
              <w:marRight w:val="0"/>
              <w:marTop w:val="0"/>
              <w:marBottom w:val="0"/>
              <w:divBdr>
                <w:top w:val="none" w:sz="0" w:space="0" w:color="auto"/>
                <w:left w:val="none" w:sz="0" w:space="0" w:color="auto"/>
                <w:bottom w:val="none" w:sz="0" w:space="0" w:color="auto"/>
                <w:right w:val="none" w:sz="0" w:space="0" w:color="auto"/>
              </w:divBdr>
            </w:div>
          </w:divsChild>
        </w:div>
        <w:div w:id="857699202">
          <w:marLeft w:val="0"/>
          <w:marRight w:val="0"/>
          <w:marTop w:val="0"/>
          <w:marBottom w:val="0"/>
          <w:divBdr>
            <w:top w:val="none" w:sz="0" w:space="0" w:color="auto"/>
            <w:left w:val="none" w:sz="0" w:space="0" w:color="auto"/>
            <w:bottom w:val="none" w:sz="0" w:space="0" w:color="auto"/>
            <w:right w:val="none" w:sz="0" w:space="0" w:color="auto"/>
          </w:divBdr>
          <w:divsChild>
            <w:div w:id="276765178">
              <w:marLeft w:val="0"/>
              <w:marRight w:val="0"/>
              <w:marTop w:val="0"/>
              <w:marBottom w:val="0"/>
              <w:divBdr>
                <w:top w:val="none" w:sz="0" w:space="0" w:color="auto"/>
                <w:left w:val="none" w:sz="0" w:space="0" w:color="auto"/>
                <w:bottom w:val="none" w:sz="0" w:space="0" w:color="auto"/>
                <w:right w:val="none" w:sz="0" w:space="0" w:color="auto"/>
              </w:divBdr>
            </w:div>
            <w:div w:id="926496923">
              <w:marLeft w:val="0"/>
              <w:marRight w:val="0"/>
              <w:marTop w:val="0"/>
              <w:marBottom w:val="0"/>
              <w:divBdr>
                <w:top w:val="none" w:sz="0" w:space="0" w:color="auto"/>
                <w:left w:val="none" w:sz="0" w:space="0" w:color="auto"/>
                <w:bottom w:val="none" w:sz="0" w:space="0" w:color="auto"/>
                <w:right w:val="none" w:sz="0" w:space="0" w:color="auto"/>
              </w:divBdr>
              <w:divsChild>
                <w:div w:id="7812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39446">
          <w:marLeft w:val="0"/>
          <w:marRight w:val="0"/>
          <w:marTop w:val="0"/>
          <w:marBottom w:val="0"/>
          <w:divBdr>
            <w:top w:val="none" w:sz="0" w:space="0" w:color="auto"/>
            <w:left w:val="none" w:sz="0" w:space="0" w:color="auto"/>
            <w:bottom w:val="none" w:sz="0" w:space="0" w:color="auto"/>
            <w:right w:val="none" w:sz="0" w:space="0" w:color="auto"/>
          </w:divBdr>
          <w:divsChild>
            <w:div w:id="1826361889">
              <w:marLeft w:val="0"/>
              <w:marRight w:val="0"/>
              <w:marTop w:val="0"/>
              <w:marBottom w:val="0"/>
              <w:divBdr>
                <w:top w:val="none" w:sz="0" w:space="0" w:color="auto"/>
                <w:left w:val="none" w:sz="0" w:space="0" w:color="auto"/>
                <w:bottom w:val="none" w:sz="0" w:space="0" w:color="auto"/>
                <w:right w:val="none" w:sz="0" w:space="0" w:color="auto"/>
              </w:divBdr>
            </w:div>
            <w:div w:id="367920942">
              <w:marLeft w:val="0"/>
              <w:marRight w:val="0"/>
              <w:marTop w:val="0"/>
              <w:marBottom w:val="0"/>
              <w:divBdr>
                <w:top w:val="none" w:sz="0" w:space="0" w:color="auto"/>
                <w:left w:val="none" w:sz="0" w:space="0" w:color="auto"/>
                <w:bottom w:val="none" w:sz="0" w:space="0" w:color="auto"/>
                <w:right w:val="none" w:sz="0" w:space="0" w:color="auto"/>
              </w:divBdr>
            </w:div>
            <w:div w:id="350837209">
              <w:marLeft w:val="0"/>
              <w:marRight w:val="0"/>
              <w:marTop w:val="0"/>
              <w:marBottom w:val="0"/>
              <w:divBdr>
                <w:top w:val="none" w:sz="0" w:space="0" w:color="auto"/>
                <w:left w:val="none" w:sz="0" w:space="0" w:color="auto"/>
                <w:bottom w:val="none" w:sz="0" w:space="0" w:color="auto"/>
                <w:right w:val="none" w:sz="0" w:space="0" w:color="auto"/>
              </w:divBdr>
              <w:divsChild>
                <w:div w:id="1894147386">
                  <w:marLeft w:val="0"/>
                  <w:marRight w:val="0"/>
                  <w:marTop w:val="0"/>
                  <w:marBottom w:val="0"/>
                  <w:divBdr>
                    <w:top w:val="none" w:sz="0" w:space="0" w:color="auto"/>
                    <w:left w:val="none" w:sz="0" w:space="0" w:color="auto"/>
                    <w:bottom w:val="none" w:sz="0" w:space="0" w:color="auto"/>
                    <w:right w:val="none" w:sz="0" w:space="0" w:color="auto"/>
                  </w:divBdr>
                </w:div>
              </w:divsChild>
            </w:div>
            <w:div w:id="2008943913">
              <w:marLeft w:val="0"/>
              <w:marRight w:val="0"/>
              <w:marTop w:val="0"/>
              <w:marBottom w:val="0"/>
              <w:divBdr>
                <w:top w:val="none" w:sz="0" w:space="0" w:color="auto"/>
                <w:left w:val="none" w:sz="0" w:space="0" w:color="auto"/>
                <w:bottom w:val="none" w:sz="0" w:space="0" w:color="auto"/>
                <w:right w:val="none" w:sz="0" w:space="0" w:color="auto"/>
              </w:divBdr>
            </w:div>
            <w:div w:id="287400914">
              <w:marLeft w:val="0"/>
              <w:marRight w:val="0"/>
              <w:marTop w:val="0"/>
              <w:marBottom w:val="0"/>
              <w:divBdr>
                <w:top w:val="none" w:sz="0" w:space="0" w:color="auto"/>
                <w:left w:val="none" w:sz="0" w:space="0" w:color="auto"/>
                <w:bottom w:val="none" w:sz="0" w:space="0" w:color="auto"/>
                <w:right w:val="none" w:sz="0" w:space="0" w:color="auto"/>
              </w:divBdr>
              <w:divsChild>
                <w:div w:id="1798061488">
                  <w:marLeft w:val="0"/>
                  <w:marRight w:val="0"/>
                  <w:marTop w:val="0"/>
                  <w:marBottom w:val="0"/>
                  <w:divBdr>
                    <w:top w:val="none" w:sz="0" w:space="0" w:color="auto"/>
                    <w:left w:val="none" w:sz="0" w:space="0" w:color="auto"/>
                    <w:bottom w:val="none" w:sz="0" w:space="0" w:color="auto"/>
                    <w:right w:val="none" w:sz="0" w:space="0" w:color="auto"/>
                  </w:divBdr>
                </w:div>
              </w:divsChild>
            </w:div>
            <w:div w:id="391275179">
              <w:marLeft w:val="0"/>
              <w:marRight w:val="0"/>
              <w:marTop w:val="0"/>
              <w:marBottom w:val="0"/>
              <w:divBdr>
                <w:top w:val="none" w:sz="0" w:space="0" w:color="auto"/>
                <w:left w:val="none" w:sz="0" w:space="0" w:color="auto"/>
                <w:bottom w:val="none" w:sz="0" w:space="0" w:color="auto"/>
                <w:right w:val="none" w:sz="0" w:space="0" w:color="auto"/>
              </w:divBdr>
            </w:div>
            <w:div w:id="739642794">
              <w:marLeft w:val="0"/>
              <w:marRight w:val="0"/>
              <w:marTop w:val="0"/>
              <w:marBottom w:val="0"/>
              <w:divBdr>
                <w:top w:val="none" w:sz="0" w:space="0" w:color="auto"/>
                <w:left w:val="none" w:sz="0" w:space="0" w:color="auto"/>
                <w:bottom w:val="none" w:sz="0" w:space="0" w:color="auto"/>
                <w:right w:val="none" w:sz="0" w:space="0" w:color="auto"/>
              </w:divBdr>
              <w:divsChild>
                <w:div w:id="13088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9817">
          <w:marLeft w:val="0"/>
          <w:marRight w:val="0"/>
          <w:marTop w:val="0"/>
          <w:marBottom w:val="0"/>
          <w:divBdr>
            <w:top w:val="none" w:sz="0" w:space="0" w:color="auto"/>
            <w:left w:val="none" w:sz="0" w:space="0" w:color="auto"/>
            <w:bottom w:val="none" w:sz="0" w:space="0" w:color="auto"/>
            <w:right w:val="none" w:sz="0" w:space="0" w:color="auto"/>
          </w:divBdr>
          <w:divsChild>
            <w:div w:id="1343123802">
              <w:marLeft w:val="0"/>
              <w:marRight w:val="0"/>
              <w:marTop w:val="0"/>
              <w:marBottom w:val="0"/>
              <w:divBdr>
                <w:top w:val="none" w:sz="0" w:space="0" w:color="auto"/>
                <w:left w:val="none" w:sz="0" w:space="0" w:color="auto"/>
                <w:bottom w:val="none" w:sz="0" w:space="0" w:color="auto"/>
                <w:right w:val="none" w:sz="0" w:space="0" w:color="auto"/>
              </w:divBdr>
              <w:divsChild>
                <w:div w:id="1581214976">
                  <w:marLeft w:val="0"/>
                  <w:marRight w:val="0"/>
                  <w:marTop w:val="0"/>
                  <w:marBottom w:val="0"/>
                  <w:divBdr>
                    <w:top w:val="none" w:sz="0" w:space="0" w:color="auto"/>
                    <w:left w:val="none" w:sz="0" w:space="0" w:color="auto"/>
                    <w:bottom w:val="none" w:sz="0" w:space="0" w:color="auto"/>
                    <w:right w:val="none" w:sz="0" w:space="0" w:color="auto"/>
                  </w:divBdr>
                </w:div>
              </w:divsChild>
            </w:div>
            <w:div w:id="1135414586">
              <w:marLeft w:val="0"/>
              <w:marRight w:val="0"/>
              <w:marTop w:val="0"/>
              <w:marBottom w:val="0"/>
              <w:divBdr>
                <w:top w:val="none" w:sz="0" w:space="0" w:color="auto"/>
                <w:left w:val="none" w:sz="0" w:space="0" w:color="auto"/>
                <w:bottom w:val="none" w:sz="0" w:space="0" w:color="auto"/>
                <w:right w:val="none" w:sz="0" w:space="0" w:color="auto"/>
              </w:divBdr>
              <w:divsChild>
                <w:div w:id="5640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310">
          <w:marLeft w:val="0"/>
          <w:marRight w:val="0"/>
          <w:marTop w:val="0"/>
          <w:marBottom w:val="0"/>
          <w:divBdr>
            <w:top w:val="none" w:sz="0" w:space="0" w:color="auto"/>
            <w:left w:val="none" w:sz="0" w:space="0" w:color="auto"/>
            <w:bottom w:val="none" w:sz="0" w:space="0" w:color="auto"/>
            <w:right w:val="none" w:sz="0" w:space="0" w:color="auto"/>
          </w:divBdr>
          <w:divsChild>
            <w:div w:id="1681353920">
              <w:marLeft w:val="0"/>
              <w:marRight w:val="0"/>
              <w:marTop w:val="0"/>
              <w:marBottom w:val="0"/>
              <w:divBdr>
                <w:top w:val="none" w:sz="0" w:space="0" w:color="auto"/>
                <w:left w:val="none" w:sz="0" w:space="0" w:color="auto"/>
                <w:bottom w:val="none" w:sz="0" w:space="0" w:color="auto"/>
                <w:right w:val="none" w:sz="0" w:space="0" w:color="auto"/>
              </w:divBdr>
            </w:div>
            <w:div w:id="449400402">
              <w:marLeft w:val="0"/>
              <w:marRight w:val="0"/>
              <w:marTop w:val="0"/>
              <w:marBottom w:val="0"/>
              <w:divBdr>
                <w:top w:val="none" w:sz="0" w:space="0" w:color="auto"/>
                <w:left w:val="none" w:sz="0" w:space="0" w:color="auto"/>
                <w:bottom w:val="none" w:sz="0" w:space="0" w:color="auto"/>
                <w:right w:val="none" w:sz="0" w:space="0" w:color="auto"/>
              </w:divBdr>
            </w:div>
            <w:div w:id="1267546121">
              <w:marLeft w:val="0"/>
              <w:marRight w:val="0"/>
              <w:marTop w:val="0"/>
              <w:marBottom w:val="0"/>
              <w:divBdr>
                <w:top w:val="none" w:sz="0" w:space="0" w:color="auto"/>
                <w:left w:val="none" w:sz="0" w:space="0" w:color="auto"/>
                <w:bottom w:val="none" w:sz="0" w:space="0" w:color="auto"/>
                <w:right w:val="none" w:sz="0" w:space="0" w:color="auto"/>
              </w:divBdr>
            </w:div>
          </w:divsChild>
        </w:div>
        <w:div w:id="1151213417">
          <w:marLeft w:val="0"/>
          <w:marRight w:val="0"/>
          <w:marTop w:val="0"/>
          <w:marBottom w:val="0"/>
          <w:divBdr>
            <w:top w:val="none" w:sz="0" w:space="0" w:color="auto"/>
            <w:left w:val="none" w:sz="0" w:space="0" w:color="auto"/>
            <w:bottom w:val="none" w:sz="0" w:space="0" w:color="auto"/>
            <w:right w:val="none" w:sz="0" w:space="0" w:color="auto"/>
          </w:divBdr>
          <w:divsChild>
            <w:div w:id="1238327661">
              <w:marLeft w:val="0"/>
              <w:marRight w:val="0"/>
              <w:marTop w:val="0"/>
              <w:marBottom w:val="0"/>
              <w:divBdr>
                <w:top w:val="none" w:sz="0" w:space="0" w:color="auto"/>
                <w:left w:val="none" w:sz="0" w:space="0" w:color="auto"/>
                <w:bottom w:val="none" w:sz="0" w:space="0" w:color="auto"/>
                <w:right w:val="none" w:sz="0" w:space="0" w:color="auto"/>
              </w:divBdr>
            </w:div>
            <w:div w:id="1823156792">
              <w:marLeft w:val="0"/>
              <w:marRight w:val="0"/>
              <w:marTop w:val="0"/>
              <w:marBottom w:val="0"/>
              <w:divBdr>
                <w:top w:val="none" w:sz="0" w:space="0" w:color="auto"/>
                <w:left w:val="none" w:sz="0" w:space="0" w:color="auto"/>
                <w:bottom w:val="none" w:sz="0" w:space="0" w:color="auto"/>
                <w:right w:val="none" w:sz="0" w:space="0" w:color="auto"/>
              </w:divBdr>
              <w:divsChild>
                <w:div w:id="744381367">
                  <w:marLeft w:val="0"/>
                  <w:marRight w:val="0"/>
                  <w:marTop w:val="0"/>
                  <w:marBottom w:val="0"/>
                  <w:divBdr>
                    <w:top w:val="none" w:sz="0" w:space="0" w:color="auto"/>
                    <w:left w:val="none" w:sz="0" w:space="0" w:color="auto"/>
                    <w:bottom w:val="none" w:sz="0" w:space="0" w:color="auto"/>
                    <w:right w:val="none" w:sz="0" w:space="0" w:color="auto"/>
                  </w:divBdr>
                </w:div>
                <w:div w:id="2309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5919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1</cp:revision>
  <dcterms:created xsi:type="dcterms:W3CDTF">2017-11-03T10:58:00Z</dcterms:created>
  <dcterms:modified xsi:type="dcterms:W3CDTF">2017-11-03T10:58:00Z</dcterms:modified>
</cp:coreProperties>
</file>